
<file path=[Content_Types].xml><?xml version="1.0" encoding="utf-8"?>
<Types xmlns="http://schemas.openxmlformats.org/package/2006/content-types">
  <Default Extension="xml" ContentType="application/xml"/>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omments.xml" ContentType="application/vnd.openxmlformats-officedocument.wordprocessingml.comments+xml"/>
  <Override PartName="/word/commentsExtended.xml" ContentType="application/vnd.openxmlformats-officedocument.wordprocessingml.commentsExtended+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863EFF7">
      <w:pPr>
        <w:spacing w:line="276" w:lineRule="auto"/>
        <w:ind w:left="-567" w:right="-716"/>
        <w:rPr>
          <w:rFonts w:asciiTheme="minorHAnsi" w:hAnsiTheme="minorHAnsi" w:cstheme="minorHAnsi"/>
          <w:sz w:val="24"/>
          <w:szCs w:val="24"/>
        </w:rPr>
      </w:pPr>
    </w:p>
    <w:p w14:paraId="596C3334">
      <w:pPr>
        <w:spacing w:line="276" w:lineRule="auto"/>
        <w:ind w:left="-567" w:right="-716"/>
        <w:jc w:val="center"/>
        <w:rPr>
          <w:rFonts w:asciiTheme="minorHAnsi" w:hAnsiTheme="minorHAnsi" w:cstheme="minorHAnsi"/>
          <w:b/>
          <w:sz w:val="24"/>
          <w:szCs w:val="24"/>
        </w:rPr>
      </w:pPr>
    </w:p>
    <w:tbl>
      <w:tblPr>
        <w:tblStyle w:val="78"/>
        <w:tblpPr w:leftFromText="141" w:rightFromText="141" w:vertAnchor="page" w:horzAnchor="margin" w:tblpXSpec="center" w:tblpY="3238"/>
        <w:tblW w:w="9202" w:type="dxa"/>
        <w:tblInd w:w="0" w:type="dxa"/>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Layout w:type="autofit"/>
        <w:tblCellMar>
          <w:top w:w="0" w:type="dxa"/>
          <w:left w:w="108" w:type="dxa"/>
          <w:bottom w:w="0" w:type="dxa"/>
          <w:right w:w="108" w:type="dxa"/>
        </w:tblCellMar>
      </w:tblPr>
      <w:tblGrid>
        <w:gridCol w:w="9202"/>
      </w:tblGrid>
      <w:tr w14:paraId="3899AF64">
        <w:tblPrEx>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CellMar>
            <w:top w:w="0" w:type="dxa"/>
            <w:left w:w="108" w:type="dxa"/>
            <w:bottom w:w="0" w:type="dxa"/>
            <w:right w:w="108" w:type="dxa"/>
          </w:tblCellMar>
        </w:tblPrEx>
        <w:trPr>
          <w:trHeight w:val="393" w:hRule="atLeast"/>
        </w:trPr>
        <w:tc>
          <w:tcPr>
            <w:tcW w:w="9202" w:type="dxa"/>
            <w:tcBorders>
              <w:top w:val="single" w:color="000000" w:themeColor="text1" w:sz="4" w:space="0"/>
              <w:left w:val="single" w:color="000000" w:themeColor="text1" w:sz="4" w:space="0"/>
              <w:bottom w:val="single" w:color="000000" w:themeColor="text1" w:sz="4" w:space="0"/>
              <w:right w:val="single" w:color="000000" w:themeColor="text1" w:sz="4" w:space="0"/>
              <w:insideH w:val="single" w:sz="4" w:space="0"/>
              <w:insideV w:val="nil"/>
            </w:tcBorders>
            <w:shd w:val="clear" w:color="auto" w:fill="000000" w:themeFill="text1"/>
            <w:vAlign w:val="center"/>
          </w:tcPr>
          <w:p w14:paraId="563B3629">
            <w:pPr>
              <w:jc w:val="center"/>
              <w:rPr>
                <w:rFonts w:asciiTheme="minorHAnsi" w:hAnsiTheme="minorHAnsi" w:cstheme="minorHAnsi"/>
                <w:b/>
                <w:bCs/>
                <w:color w:val="FFFFFF" w:themeColor="background1"/>
                <w:sz w:val="24"/>
                <w:szCs w:val="24"/>
                <w14:textFill>
                  <w14:solidFill>
                    <w14:schemeClr w14:val="bg1"/>
                  </w14:solidFill>
                </w14:textFill>
              </w:rPr>
            </w:pPr>
            <w:bookmarkStart w:id="0" w:name="_Hlk136255320"/>
            <w:r>
              <w:rPr>
                <w:rFonts w:asciiTheme="minorHAnsi" w:hAnsiTheme="minorHAnsi" w:cstheme="minorHAnsi"/>
                <w:b/>
                <w:bCs/>
                <w:color w:val="FFFFFF" w:themeColor="background1"/>
                <w:sz w:val="24"/>
                <w:szCs w:val="24"/>
                <w14:textFill>
                  <w14:solidFill>
                    <w14:schemeClr w14:val="bg1"/>
                  </w14:solidFill>
                </w14:textFill>
              </w:rPr>
              <w:t>PROCESO</w:t>
            </w:r>
          </w:p>
        </w:tc>
      </w:tr>
      <w:tr w14:paraId="0DE86743">
        <w:tblPrEx>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CellMar>
            <w:top w:w="0" w:type="dxa"/>
            <w:left w:w="108" w:type="dxa"/>
            <w:bottom w:w="0" w:type="dxa"/>
            <w:right w:w="108" w:type="dxa"/>
          </w:tblCellMar>
        </w:tblPrEx>
        <w:trPr>
          <w:trHeight w:val="440" w:hRule="atLeast"/>
        </w:trPr>
        <w:tc>
          <w:tcPr>
            <w:tcW w:w="9202" w:type="dxa"/>
            <w:shd w:val="clear" w:color="auto" w:fill="auto"/>
            <w:vAlign w:val="center"/>
          </w:tcPr>
          <w:p w14:paraId="7AEA69C3">
            <w:pPr>
              <w:spacing w:line="276" w:lineRule="auto"/>
              <w:ind w:left="-567" w:right="-716"/>
              <w:jc w:val="center"/>
              <w:rPr>
                <w:rFonts w:asciiTheme="minorHAnsi" w:hAnsiTheme="minorHAnsi" w:cstheme="minorHAnsi"/>
                <w:b w:val="0"/>
                <w:bCs/>
                <w:sz w:val="24"/>
                <w:szCs w:val="24"/>
              </w:rPr>
            </w:pPr>
            <w:r>
              <w:rPr>
                <w:rFonts w:asciiTheme="minorHAnsi" w:hAnsiTheme="minorHAnsi" w:cstheme="minorHAnsi"/>
                <w:b/>
                <w:bCs/>
                <w:sz w:val="24"/>
                <w:szCs w:val="24"/>
              </w:rPr>
              <w:t>GESTION ORGANIZACIONAL Y DEL RIESGO</w:t>
            </w:r>
          </w:p>
        </w:tc>
      </w:tr>
      <w:tr w14:paraId="2BC422CE">
        <w:tblPrEx>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CellMar>
            <w:top w:w="0" w:type="dxa"/>
            <w:left w:w="108" w:type="dxa"/>
            <w:bottom w:w="0" w:type="dxa"/>
            <w:right w:w="108" w:type="dxa"/>
          </w:tblCellMar>
        </w:tblPrEx>
        <w:trPr>
          <w:trHeight w:val="491" w:hRule="atLeast"/>
        </w:trPr>
        <w:tc>
          <w:tcPr>
            <w:tcW w:w="9202" w:type="dxa"/>
            <w:shd w:val="clear" w:color="auto" w:fill="000000" w:themeFill="text1"/>
            <w:vAlign w:val="center"/>
          </w:tcPr>
          <w:p w14:paraId="27CE2DEA">
            <w:pPr>
              <w:jc w:val="center"/>
              <w:rPr>
                <w:rFonts w:asciiTheme="minorHAnsi" w:hAnsiTheme="minorHAnsi" w:cstheme="minorHAnsi"/>
                <w:b/>
                <w:bCs/>
                <w:color w:val="FFFFFF" w:themeColor="background1"/>
                <w:sz w:val="24"/>
                <w:szCs w:val="24"/>
                <w14:textFill>
                  <w14:solidFill>
                    <w14:schemeClr w14:val="bg1"/>
                  </w14:solidFill>
                </w14:textFill>
              </w:rPr>
            </w:pPr>
            <w:r>
              <w:rPr>
                <w:rFonts w:asciiTheme="minorHAnsi" w:hAnsiTheme="minorHAnsi" w:cstheme="minorHAnsi"/>
                <w:b/>
                <w:bCs/>
                <w:color w:val="FFFFFF" w:themeColor="background1"/>
                <w:sz w:val="24"/>
                <w:szCs w:val="24"/>
                <w14:textFill>
                  <w14:solidFill>
                    <w14:schemeClr w14:val="bg1"/>
                  </w14:solidFill>
                </w14:textFill>
              </w:rPr>
              <w:t>NOMBRE DEL DOCUMENTO</w:t>
            </w:r>
          </w:p>
        </w:tc>
      </w:tr>
      <w:tr w14:paraId="7D9F9D78">
        <w:tblPrEx>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CellMar>
            <w:top w:w="0" w:type="dxa"/>
            <w:left w:w="108" w:type="dxa"/>
            <w:bottom w:w="0" w:type="dxa"/>
            <w:right w:w="108" w:type="dxa"/>
          </w:tblCellMar>
        </w:tblPrEx>
        <w:trPr>
          <w:trHeight w:val="477" w:hRule="atLeast"/>
        </w:trPr>
        <w:tc>
          <w:tcPr>
            <w:tcW w:w="9202" w:type="dxa"/>
            <w:shd w:val="clear" w:color="auto" w:fill="auto"/>
            <w:vAlign w:val="center"/>
          </w:tcPr>
          <w:p w14:paraId="1E78068A">
            <w:pPr>
              <w:jc w:val="center"/>
              <w:rPr>
                <w:rFonts w:asciiTheme="minorHAnsi" w:hAnsiTheme="minorHAnsi" w:cstheme="minorHAnsi"/>
                <w:b/>
                <w:bCs/>
                <w:sz w:val="24"/>
                <w:szCs w:val="24"/>
              </w:rPr>
            </w:pPr>
            <w:r>
              <w:rPr>
                <w:rFonts w:asciiTheme="minorHAnsi" w:hAnsiTheme="minorHAnsi" w:cstheme="minorHAnsi"/>
                <w:b/>
                <w:bCs/>
                <w:sz w:val="24"/>
                <w:szCs w:val="24"/>
              </w:rPr>
              <w:t>PLAN ESTRATÉGICO DE SEGURIDAD VIAL - PESV</w:t>
            </w:r>
          </w:p>
        </w:tc>
      </w:tr>
      <w:bookmarkEnd w:id="0"/>
    </w:tbl>
    <w:p w14:paraId="5FD49B7A">
      <w:pPr>
        <w:spacing w:line="276" w:lineRule="auto"/>
        <w:ind w:left="-567" w:right="-716"/>
        <w:rPr>
          <w:rFonts w:asciiTheme="minorHAnsi" w:hAnsiTheme="minorHAnsi" w:cstheme="minorHAnsi"/>
          <w:color w:val="262626"/>
          <w:sz w:val="24"/>
          <w:szCs w:val="24"/>
        </w:rPr>
      </w:pPr>
    </w:p>
    <w:p w14:paraId="7A5D7162">
      <w:pPr>
        <w:spacing w:line="276" w:lineRule="auto"/>
        <w:ind w:left="-567" w:right="-716"/>
        <w:rPr>
          <w:rFonts w:asciiTheme="minorHAnsi" w:hAnsiTheme="minorHAnsi" w:cstheme="minorHAnsi"/>
          <w:color w:val="262626"/>
          <w:sz w:val="24"/>
          <w:szCs w:val="24"/>
        </w:rPr>
      </w:pPr>
    </w:p>
    <w:p w14:paraId="6DD3A32D">
      <w:pPr>
        <w:spacing w:line="276" w:lineRule="auto"/>
        <w:ind w:left="-567" w:right="-716"/>
        <w:jc w:val="center"/>
        <w:rPr>
          <w:rFonts w:asciiTheme="minorHAnsi" w:hAnsiTheme="minorHAnsi" w:cstheme="minorHAnsi"/>
          <w:color w:val="262626"/>
          <w:sz w:val="24"/>
          <w:szCs w:val="24"/>
        </w:rPr>
      </w:pPr>
    </w:p>
    <w:p w14:paraId="6B27E8CF">
      <w:pPr>
        <w:spacing w:line="276" w:lineRule="auto"/>
        <w:ind w:left="-567" w:right="-716"/>
        <w:rPr>
          <w:rFonts w:asciiTheme="minorHAnsi" w:hAnsiTheme="minorHAnsi" w:cstheme="minorHAnsi"/>
          <w:color w:val="262626"/>
          <w:sz w:val="24"/>
          <w:szCs w:val="24"/>
        </w:rPr>
      </w:pPr>
    </w:p>
    <w:p w14:paraId="751B49F4">
      <w:pPr>
        <w:spacing w:line="276" w:lineRule="auto"/>
        <w:ind w:left="-567" w:right="-716"/>
        <w:rPr>
          <w:rFonts w:asciiTheme="minorHAnsi" w:hAnsiTheme="minorHAnsi" w:cstheme="minorHAnsi"/>
          <w:color w:val="262626"/>
          <w:sz w:val="24"/>
          <w:szCs w:val="24"/>
        </w:rPr>
      </w:pPr>
    </w:p>
    <w:p w14:paraId="32F1001D">
      <w:pPr>
        <w:spacing w:line="276" w:lineRule="auto"/>
        <w:ind w:left="-567" w:right="-716"/>
        <w:rPr>
          <w:rFonts w:asciiTheme="minorHAnsi" w:hAnsiTheme="minorHAnsi" w:cstheme="minorHAnsi"/>
          <w:color w:val="262626"/>
          <w:sz w:val="24"/>
          <w:szCs w:val="24"/>
        </w:rPr>
      </w:pPr>
    </w:p>
    <w:p w14:paraId="28BDDA0B">
      <w:pPr>
        <w:spacing w:line="276" w:lineRule="auto"/>
        <w:ind w:left="-567" w:right="-716"/>
        <w:jc w:val="center"/>
        <w:rPr>
          <w:rFonts w:asciiTheme="minorHAnsi" w:hAnsiTheme="minorHAnsi" w:cstheme="minorHAnsi"/>
          <w:b/>
          <w:sz w:val="24"/>
          <w:szCs w:val="24"/>
        </w:rPr>
      </w:pPr>
    </w:p>
    <w:p w14:paraId="53B29FF2">
      <w:pPr>
        <w:spacing w:line="276" w:lineRule="auto"/>
        <w:ind w:left="-567" w:right="-716"/>
        <w:jc w:val="center"/>
        <w:rPr>
          <w:rFonts w:asciiTheme="minorHAnsi" w:hAnsiTheme="minorHAnsi" w:cstheme="minorHAnsi"/>
          <w:b/>
          <w:sz w:val="24"/>
          <w:szCs w:val="24"/>
        </w:rPr>
      </w:pPr>
    </w:p>
    <w:p w14:paraId="78ED1D4B">
      <w:pPr>
        <w:pStyle w:val="33"/>
        <w:spacing w:before="8"/>
        <w:rPr>
          <w:rFonts w:asciiTheme="minorHAnsi" w:hAnsiTheme="minorHAnsi" w:cstheme="minorHAnsi"/>
          <w:b/>
          <w:sz w:val="24"/>
        </w:rPr>
      </w:pPr>
    </w:p>
    <w:p w14:paraId="14250595">
      <w:pPr>
        <w:spacing w:line="276" w:lineRule="auto"/>
        <w:ind w:left="-567" w:right="-716"/>
        <w:jc w:val="center"/>
        <w:rPr>
          <w:rFonts w:asciiTheme="minorHAnsi" w:hAnsiTheme="minorHAnsi" w:cstheme="minorHAnsi"/>
          <w:b/>
          <w:sz w:val="24"/>
          <w:szCs w:val="24"/>
        </w:rPr>
      </w:pPr>
    </w:p>
    <w:p w14:paraId="0CD296D7">
      <w:pPr>
        <w:pStyle w:val="33"/>
        <w:rPr>
          <w:rFonts w:asciiTheme="minorHAnsi" w:hAnsiTheme="minorHAnsi" w:cstheme="minorHAnsi"/>
          <w:b/>
          <w:sz w:val="24"/>
        </w:rPr>
      </w:pPr>
    </w:p>
    <w:p w14:paraId="1CE11179">
      <w:pPr>
        <w:pStyle w:val="33"/>
        <w:rPr>
          <w:rFonts w:asciiTheme="minorHAnsi" w:hAnsiTheme="minorHAnsi" w:cstheme="minorHAnsi"/>
          <w:b/>
          <w:sz w:val="24"/>
        </w:rPr>
      </w:pPr>
    </w:p>
    <w:p w14:paraId="016823A1">
      <w:pPr>
        <w:pStyle w:val="33"/>
        <w:rPr>
          <w:rFonts w:asciiTheme="minorHAnsi" w:hAnsiTheme="minorHAnsi" w:cstheme="minorHAnsi"/>
          <w:b/>
          <w:sz w:val="24"/>
        </w:rPr>
      </w:pPr>
    </w:p>
    <w:p w14:paraId="132B94B5">
      <w:pPr>
        <w:pStyle w:val="33"/>
        <w:spacing w:before="213"/>
        <w:jc w:val="center"/>
        <w:rPr>
          <w:rFonts w:asciiTheme="minorHAnsi" w:hAnsiTheme="minorHAnsi" w:cstheme="minorHAnsi"/>
          <w:b/>
          <w:bCs/>
          <w:sz w:val="24"/>
        </w:rPr>
      </w:pPr>
      <w:r>
        <w:rPr>
          <w:rFonts w:asciiTheme="minorHAnsi" w:hAnsiTheme="minorHAnsi" w:cstheme="minorHAnsi"/>
          <w:b/>
          <w:bCs/>
          <w:sz w:val="24"/>
        </w:rPr>
        <w:t>Enero 2025</w:t>
      </w:r>
    </w:p>
    <w:p w14:paraId="09F4A698">
      <w:pPr>
        <w:pStyle w:val="33"/>
        <w:rPr>
          <w:rFonts w:asciiTheme="minorHAnsi" w:hAnsiTheme="minorHAnsi" w:cstheme="minorHAnsi"/>
          <w:sz w:val="24"/>
        </w:rPr>
      </w:pPr>
    </w:p>
    <w:p w14:paraId="09A7D519">
      <w:pPr>
        <w:pStyle w:val="33"/>
        <w:rPr>
          <w:rFonts w:asciiTheme="minorHAnsi" w:hAnsiTheme="minorHAnsi" w:cstheme="minorHAnsi"/>
          <w:sz w:val="24"/>
        </w:rPr>
      </w:pPr>
    </w:p>
    <w:p w14:paraId="5CAD9149">
      <w:pPr>
        <w:pStyle w:val="33"/>
        <w:rPr>
          <w:rFonts w:asciiTheme="minorHAnsi" w:hAnsiTheme="minorHAnsi" w:cstheme="minorHAnsi"/>
          <w:sz w:val="24"/>
        </w:rPr>
      </w:pPr>
    </w:p>
    <w:p w14:paraId="15B22C32">
      <w:pPr>
        <w:pStyle w:val="33"/>
        <w:rPr>
          <w:rFonts w:asciiTheme="minorHAnsi" w:hAnsiTheme="minorHAnsi" w:cstheme="minorHAnsi"/>
          <w:sz w:val="24"/>
        </w:rPr>
      </w:pPr>
    </w:p>
    <w:p w14:paraId="06A6E0F0">
      <w:pPr>
        <w:pStyle w:val="33"/>
        <w:rPr>
          <w:rFonts w:asciiTheme="minorHAnsi" w:hAnsiTheme="minorHAnsi" w:cstheme="minorHAnsi"/>
          <w:sz w:val="24"/>
        </w:rPr>
      </w:pPr>
    </w:p>
    <w:p w14:paraId="73659692">
      <w:pPr>
        <w:spacing w:before="1"/>
        <w:ind w:left="82" w:right="247"/>
        <w:jc w:val="center"/>
        <w:rPr>
          <w:rFonts w:asciiTheme="minorHAnsi" w:hAnsiTheme="minorHAnsi" w:cstheme="minorHAnsi"/>
          <w:b/>
          <w:sz w:val="24"/>
          <w:szCs w:val="24"/>
        </w:rPr>
      </w:pPr>
      <w:r>
        <w:rPr>
          <w:rFonts w:asciiTheme="minorHAnsi" w:hAnsiTheme="minorHAnsi" w:cstheme="minorHAnsi"/>
          <w:b/>
          <w:sz w:val="24"/>
          <w:szCs w:val="24"/>
        </w:rPr>
        <w:t>Sistema Integrado de Gestión y Autocontrol</w:t>
      </w:r>
    </w:p>
    <w:p w14:paraId="7378D08F">
      <w:pPr>
        <w:pStyle w:val="33"/>
        <w:rPr>
          <w:rFonts w:asciiTheme="minorHAnsi" w:hAnsiTheme="minorHAnsi" w:cstheme="minorHAnsi"/>
          <w:sz w:val="24"/>
        </w:rPr>
      </w:pPr>
    </w:p>
    <w:p w14:paraId="1A8E1B5F">
      <w:pPr>
        <w:pStyle w:val="33"/>
        <w:rPr>
          <w:rFonts w:asciiTheme="minorHAnsi" w:hAnsiTheme="minorHAnsi" w:cstheme="minorHAnsi"/>
          <w:sz w:val="24"/>
        </w:rPr>
      </w:pPr>
    </w:p>
    <w:p w14:paraId="4B0FFF89">
      <w:pPr>
        <w:pStyle w:val="33"/>
        <w:rPr>
          <w:rFonts w:asciiTheme="minorHAnsi" w:hAnsiTheme="minorHAnsi" w:cstheme="minorHAnsi"/>
          <w:sz w:val="24"/>
        </w:rPr>
      </w:pPr>
    </w:p>
    <w:p w14:paraId="10CF99FE">
      <w:pPr>
        <w:pStyle w:val="33"/>
        <w:spacing w:before="6"/>
        <w:rPr>
          <w:rFonts w:asciiTheme="minorHAnsi" w:hAnsiTheme="minorHAnsi" w:cstheme="minorHAnsi"/>
          <w:sz w:val="24"/>
        </w:rPr>
      </w:pPr>
    </w:p>
    <w:p w14:paraId="60C38DA4">
      <w:pPr>
        <w:spacing w:line="276" w:lineRule="auto"/>
        <w:ind w:left="-567" w:right="-716"/>
        <w:jc w:val="center"/>
        <w:rPr>
          <w:rFonts w:asciiTheme="minorHAnsi" w:hAnsiTheme="minorHAnsi" w:cstheme="minorHAnsi"/>
          <w:b/>
          <w:sz w:val="24"/>
          <w:szCs w:val="24"/>
        </w:rPr>
      </w:pPr>
    </w:p>
    <w:p w14:paraId="130D16F5">
      <w:pPr>
        <w:spacing w:line="276" w:lineRule="auto"/>
        <w:ind w:left="-567" w:right="-716"/>
        <w:jc w:val="center"/>
        <w:rPr>
          <w:rFonts w:asciiTheme="minorHAnsi" w:hAnsiTheme="minorHAnsi" w:cstheme="minorHAnsi"/>
          <w:b/>
          <w:sz w:val="24"/>
          <w:szCs w:val="24"/>
        </w:rPr>
      </w:pPr>
    </w:p>
    <w:p w14:paraId="5C80AF44">
      <w:pPr>
        <w:spacing w:line="276" w:lineRule="auto"/>
        <w:ind w:left="-567" w:right="-716"/>
        <w:jc w:val="center"/>
        <w:rPr>
          <w:rFonts w:asciiTheme="minorHAnsi" w:hAnsiTheme="minorHAnsi" w:cstheme="minorHAnsi"/>
          <w:b/>
          <w:sz w:val="24"/>
          <w:szCs w:val="24"/>
        </w:rPr>
      </w:pPr>
    </w:p>
    <w:p w14:paraId="12132558">
      <w:pPr>
        <w:spacing w:line="276" w:lineRule="auto"/>
        <w:ind w:left="-567" w:right="-716"/>
        <w:jc w:val="center"/>
        <w:rPr>
          <w:rFonts w:asciiTheme="minorHAnsi" w:hAnsiTheme="minorHAnsi" w:cstheme="minorHAnsi"/>
          <w:b/>
          <w:sz w:val="24"/>
          <w:szCs w:val="24"/>
        </w:rPr>
      </w:pPr>
    </w:p>
    <w:sdt>
      <w:sdtPr>
        <w:rPr>
          <w:rFonts w:asciiTheme="minorHAnsi" w:hAnsiTheme="minorHAnsi" w:cstheme="minorHAnsi"/>
          <w:color w:val="auto"/>
          <w:sz w:val="22"/>
          <w:szCs w:val="22"/>
          <w:lang w:val="es-ES" w:eastAsia="es-ES"/>
        </w:rPr>
        <w:id w:val="1002938275"/>
        <w:docPartObj>
          <w:docPartGallery w:val="Table of Contents"/>
          <w:docPartUnique/>
        </w:docPartObj>
      </w:sdtPr>
      <w:sdtEndPr>
        <w:rPr>
          <w:rFonts w:asciiTheme="minorHAnsi" w:hAnsiTheme="minorHAnsi" w:cstheme="minorHAnsi"/>
          <w:bCs/>
          <w:color w:val="auto"/>
          <w:sz w:val="22"/>
          <w:szCs w:val="22"/>
          <w:lang w:val="es-ES" w:eastAsia="es-ES"/>
        </w:rPr>
      </w:sdtEndPr>
      <w:sdtContent>
        <w:p w14:paraId="1CFAFC26">
          <w:pPr>
            <w:pStyle w:val="55"/>
            <w:numPr>
              <w:ilvl w:val="0"/>
              <w:numId w:val="0"/>
            </w:numPr>
            <w:spacing w:line="276" w:lineRule="auto"/>
            <w:jc w:val="both"/>
            <w:rPr>
              <w:rFonts w:asciiTheme="minorHAnsi" w:hAnsiTheme="minorHAnsi" w:cstheme="minorHAnsi"/>
              <w:b/>
              <w:color w:val="auto"/>
              <w:sz w:val="22"/>
              <w:szCs w:val="22"/>
              <w:lang w:val="es-ES"/>
            </w:rPr>
          </w:pPr>
          <w:r>
            <w:rPr>
              <w:rFonts w:asciiTheme="minorHAnsi" w:hAnsiTheme="minorHAnsi" w:cstheme="minorHAnsi"/>
              <w:b/>
              <w:color w:val="auto"/>
              <w:sz w:val="22"/>
              <w:szCs w:val="22"/>
              <w:lang w:val="es-ES"/>
            </w:rPr>
            <w:t>TABLA DE CONTENIDO</w:t>
          </w:r>
        </w:p>
        <w:p w14:paraId="7399FF76">
          <w:pPr>
            <w:spacing w:line="276" w:lineRule="auto"/>
            <w:rPr>
              <w:rFonts w:asciiTheme="minorHAnsi" w:hAnsiTheme="minorHAnsi" w:cstheme="minorHAnsi"/>
              <w:szCs w:val="22"/>
              <w:lang w:val="es-ES" w:eastAsia="es-CO"/>
            </w:rPr>
          </w:pPr>
        </w:p>
        <w:p w14:paraId="173A09B8">
          <w:pPr>
            <w:pStyle w:val="22"/>
            <w:rPr>
              <w:rFonts w:asciiTheme="minorHAnsi" w:hAnsiTheme="minorHAnsi" w:eastAsiaTheme="minorEastAsia" w:cstheme="minorBidi"/>
              <w:b w:val="0"/>
              <w:lang w:eastAsia="es-CO"/>
            </w:rPr>
          </w:pPr>
          <w:r>
            <w:rPr>
              <w:rFonts w:asciiTheme="minorHAnsi" w:hAnsiTheme="minorHAnsi" w:cstheme="minorHAnsi"/>
            </w:rPr>
            <w:fldChar w:fldCharType="begin"/>
          </w:r>
          <w:r>
            <w:rPr>
              <w:rFonts w:asciiTheme="minorHAnsi" w:hAnsiTheme="minorHAnsi" w:cstheme="minorHAnsi"/>
            </w:rPr>
            <w:instrText xml:space="preserve"> TOC \o "1-3" \h \z \u </w:instrText>
          </w:r>
          <w:r>
            <w:rPr>
              <w:rFonts w:asciiTheme="minorHAnsi" w:hAnsiTheme="minorHAnsi" w:cstheme="minorHAnsi"/>
            </w:rPr>
            <w:fldChar w:fldCharType="separate"/>
          </w:r>
          <w:r>
            <w:fldChar w:fldCharType="begin"/>
          </w:r>
          <w:r>
            <w:instrText xml:space="preserve"> HYPERLINK \l "_Toc188966767" </w:instrText>
          </w:r>
          <w:r>
            <w:fldChar w:fldCharType="separate"/>
          </w:r>
          <w:r>
            <w:rPr>
              <w:rStyle w:val="16"/>
              <w:rFonts w:cstheme="minorHAnsi"/>
            </w:rPr>
            <w:t>CONTENIDO DE FIGURAS</w:t>
          </w:r>
          <w:r>
            <w:tab/>
          </w:r>
          <w:r>
            <w:fldChar w:fldCharType="begin"/>
          </w:r>
          <w:r>
            <w:instrText xml:space="preserve"> PAGEREF _Toc188966767 \h </w:instrText>
          </w:r>
          <w:r>
            <w:fldChar w:fldCharType="separate"/>
          </w:r>
          <w:r>
            <w:t>4</w:t>
          </w:r>
          <w:r>
            <w:fldChar w:fldCharType="end"/>
          </w:r>
          <w:r>
            <w:fldChar w:fldCharType="end"/>
          </w:r>
        </w:p>
        <w:p w14:paraId="28938ADF">
          <w:pPr>
            <w:pStyle w:val="22"/>
            <w:rPr>
              <w:rFonts w:asciiTheme="minorHAnsi" w:hAnsiTheme="minorHAnsi" w:eastAsiaTheme="minorEastAsia" w:cstheme="minorBidi"/>
              <w:b w:val="0"/>
              <w:lang w:eastAsia="es-CO"/>
            </w:rPr>
          </w:pPr>
          <w:r>
            <w:fldChar w:fldCharType="begin"/>
          </w:r>
          <w:r>
            <w:instrText xml:space="preserve"> HYPERLINK \l "_Toc188966768" </w:instrText>
          </w:r>
          <w:r>
            <w:fldChar w:fldCharType="separate"/>
          </w:r>
          <w:r>
            <w:rPr>
              <w:rStyle w:val="16"/>
              <w:rFonts w:cstheme="minorHAnsi"/>
            </w:rPr>
            <w:t>INTRODUCCIÓN</w:t>
          </w:r>
          <w:r>
            <w:tab/>
          </w:r>
          <w:r>
            <w:fldChar w:fldCharType="begin"/>
          </w:r>
          <w:r>
            <w:instrText xml:space="preserve"> PAGEREF _Toc188966768 \h </w:instrText>
          </w:r>
          <w:r>
            <w:fldChar w:fldCharType="separate"/>
          </w:r>
          <w:r>
            <w:t>5</w:t>
          </w:r>
          <w:r>
            <w:fldChar w:fldCharType="end"/>
          </w:r>
          <w:r>
            <w:fldChar w:fldCharType="end"/>
          </w:r>
        </w:p>
        <w:p w14:paraId="3F435B3D">
          <w:pPr>
            <w:pStyle w:val="22"/>
            <w:rPr>
              <w:rFonts w:asciiTheme="minorHAnsi" w:hAnsiTheme="minorHAnsi" w:eastAsiaTheme="minorEastAsia" w:cstheme="minorBidi"/>
              <w:b w:val="0"/>
              <w:lang w:eastAsia="es-CO"/>
            </w:rPr>
          </w:pPr>
          <w:r>
            <w:fldChar w:fldCharType="begin"/>
          </w:r>
          <w:r>
            <w:instrText xml:space="preserve"> HYPERLINK \l "_Toc188966769" </w:instrText>
          </w:r>
          <w:r>
            <w:fldChar w:fldCharType="separate"/>
          </w:r>
          <w:r>
            <w:rPr>
              <w:rStyle w:val="16"/>
              <w:rFonts w:cstheme="minorHAnsi"/>
            </w:rPr>
            <w:t>DEFINICIONES</w:t>
          </w:r>
          <w:r>
            <w:tab/>
          </w:r>
          <w:r>
            <w:fldChar w:fldCharType="begin"/>
          </w:r>
          <w:r>
            <w:instrText xml:space="preserve"> PAGEREF _Toc188966769 \h </w:instrText>
          </w:r>
          <w:r>
            <w:fldChar w:fldCharType="separate"/>
          </w:r>
          <w:r>
            <w:t>6</w:t>
          </w:r>
          <w:r>
            <w:fldChar w:fldCharType="end"/>
          </w:r>
          <w:r>
            <w:fldChar w:fldCharType="end"/>
          </w:r>
        </w:p>
        <w:p w14:paraId="160FFEEA">
          <w:pPr>
            <w:pStyle w:val="22"/>
            <w:rPr>
              <w:rFonts w:asciiTheme="minorHAnsi" w:hAnsiTheme="minorHAnsi" w:eastAsiaTheme="minorEastAsia" w:cstheme="minorBidi"/>
              <w:b w:val="0"/>
              <w:lang w:eastAsia="es-CO"/>
            </w:rPr>
          </w:pPr>
          <w:r>
            <w:fldChar w:fldCharType="begin"/>
          </w:r>
          <w:r>
            <w:instrText xml:space="preserve"> HYPERLINK \l "_Toc188966770" </w:instrText>
          </w:r>
          <w:r>
            <w:fldChar w:fldCharType="separate"/>
          </w:r>
          <w:r>
            <w:rPr>
              <w:rStyle w:val="16"/>
              <w:rFonts w:cstheme="minorHAnsi"/>
            </w:rPr>
            <w:t>MARCO NORMATIVO</w:t>
          </w:r>
          <w:r>
            <w:tab/>
          </w:r>
          <w:r>
            <w:fldChar w:fldCharType="begin"/>
          </w:r>
          <w:r>
            <w:instrText xml:space="preserve"> PAGEREF _Toc188966770 \h </w:instrText>
          </w:r>
          <w:r>
            <w:fldChar w:fldCharType="separate"/>
          </w:r>
          <w:r>
            <w:t>9</w:t>
          </w:r>
          <w:r>
            <w:fldChar w:fldCharType="end"/>
          </w:r>
          <w:r>
            <w:fldChar w:fldCharType="end"/>
          </w:r>
        </w:p>
        <w:p w14:paraId="7EB322FB">
          <w:pPr>
            <w:pStyle w:val="22"/>
            <w:rPr>
              <w:rFonts w:asciiTheme="minorHAnsi" w:hAnsiTheme="minorHAnsi" w:eastAsiaTheme="minorEastAsia" w:cstheme="minorBidi"/>
              <w:b w:val="0"/>
              <w:lang w:eastAsia="es-CO"/>
            </w:rPr>
          </w:pPr>
          <w:r>
            <w:fldChar w:fldCharType="begin"/>
          </w:r>
          <w:r>
            <w:instrText xml:space="preserve"> HYPERLINK \l "_Toc188966771" </w:instrText>
          </w:r>
          <w:r>
            <w:fldChar w:fldCharType="separate"/>
          </w:r>
          <w:r>
            <w:rPr>
              <w:rStyle w:val="16"/>
              <w:rFonts w:cstheme="minorHAnsi"/>
            </w:rPr>
            <w:t>1.</w:t>
          </w:r>
          <w:r>
            <w:rPr>
              <w:rFonts w:asciiTheme="minorHAnsi" w:hAnsiTheme="minorHAnsi" w:eastAsiaTheme="minorEastAsia" w:cstheme="minorBidi"/>
              <w:b w:val="0"/>
              <w:lang w:eastAsia="es-CO"/>
            </w:rPr>
            <w:tab/>
          </w:r>
          <w:r>
            <w:rPr>
              <w:rStyle w:val="16"/>
              <w:rFonts w:cstheme="minorHAnsi"/>
            </w:rPr>
            <w:t>GENERALIDADES</w:t>
          </w:r>
          <w:r>
            <w:tab/>
          </w:r>
          <w:r>
            <w:fldChar w:fldCharType="begin"/>
          </w:r>
          <w:r>
            <w:instrText xml:space="preserve"> PAGEREF _Toc188966771 \h </w:instrText>
          </w:r>
          <w:r>
            <w:fldChar w:fldCharType="separate"/>
          </w:r>
          <w:r>
            <w:t>9</w:t>
          </w:r>
          <w:r>
            <w:fldChar w:fldCharType="end"/>
          </w:r>
          <w:r>
            <w:fldChar w:fldCharType="end"/>
          </w:r>
        </w:p>
        <w:p w14:paraId="3951FE6E">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"_Toc188966772" </w:instrText>
          </w:r>
          <w:r>
            <w:fldChar w:fldCharType="separate"/>
          </w:r>
          <w:r>
            <w:rPr>
              <w:rStyle w:val="16"/>
              <w:rFonts w:cstheme="minorHAnsi"/>
            </w:rPr>
            <w:t>1.1.</w:t>
          </w:r>
          <w:r>
            <w:rPr>
              <w:rFonts w:asciiTheme="minorHAnsi" w:hAnsiTheme="minorHAnsi" w:eastAsiaTheme="minorEastAsia" w:cstheme="minorBidi"/>
              <w:lang w:eastAsia="es-CO"/>
            </w:rPr>
            <w:tab/>
          </w:r>
          <w:r>
            <w:rPr>
              <w:rStyle w:val="16"/>
              <w:rFonts w:cstheme="minorHAnsi"/>
            </w:rPr>
            <w:t>NIVEL PLAN ESTRATEGICO DE SEGURIDAD VIAL</w:t>
          </w:r>
          <w:r>
            <w:tab/>
          </w:r>
          <w:r>
            <w:fldChar w:fldCharType="begin"/>
          </w:r>
          <w:r>
            <w:instrText xml:space="preserve"> PAGEREF _Toc188966772 \h </w:instrText>
          </w:r>
          <w:r>
            <w:fldChar w:fldCharType="separate"/>
          </w:r>
          <w:r>
            <w:t>9</w:t>
          </w:r>
          <w:r>
            <w:fldChar w:fldCharType="end"/>
          </w:r>
          <w:r>
            <w:fldChar w:fldCharType="end"/>
          </w:r>
        </w:p>
        <w:p w14:paraId="199A968F">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"_Toc188966773" </w:instrText>
          </w:r>
          <w:r>
            <w:fldChar w:fldCharType="separate"/>
          </w:r>
          <w:r>
            <w:rPr>
              <w:rStyle w:val="16"/>
              <w:rFonts w:cstheme="minorHAnsi"/>
            </w:rPr>
            <w:t>1.2.</w:t>
          </w:r>
          <w:r>
            <w:rPr>
              <w:rFonts w:asciiTheme="minorHAnsi" w:hAnsiTheme="minorHAnsi" w:eastAsiaTheme="minorEastAsia" w:cstheme="minorBidi"/>
              <w:lang w:eastAsia="es-CO"/>
            </w:rPr>
            <w:tab/>
          </w:r>
          <w:r>
            <w:rPr>
              <w:rStyle w:val="16"/>
              <w:rFonts w:cstheme="minorHAnsi"/>
            </w:rPr>
            <w:t>ALCANCE</w:t>
          </w:r>
          <w:r>
            <w:tab/>
          </w:r>
          <w:r>
            <w:fldChar w:fldCharType="begin"/>
          </w:r>
          <w:r>
            <w:instrText xml:space="preserve"> PAGEREF _Toc188966773 \h </w:instrText>
          </w:r>
          <w:r>
            <w:fldChar w:fldCharType="separate"/>
          </w:r>
          <w:r>
            <w:t>10</w:t>
          </w:r>
          <w:r>
            <w:fldChar w:fldCharType="end"/>
          </w:r>
          <w:r>
            <w:fldChar w:fldCharType="end"/>
          </w:r>
        </w:p>
        <w:p w14:paraId="5A8EA232">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"_Toc188966774" </w:instrText>
          </w:r>
          <w:r>
            <w:fldChar w:fldCharType="separate"/>
          </w:r>
          <w:r>
            <w:rPr>
              <w:rStyle w:val="16"/>
              <w:rFonts w:cstheme="minorHAnsi"/>
            </w:rPr>
            <w:t>1.3.</w:t>
          </w:r>
          <w:r>
            <w:rPr>
              <w:rFonts w:asciiTheme="minorHAnsi" w:hAnsiTheme="minorHAnsi" w:eastAsiaTheme="minorEastAsia" w:cstheme="minorBidi"/>
              <w:lang w:eastAsia="es-CO"/>
            </w:rPr>
            <w:tab/>
          </w:r>
          <w:r>
            <w:rPr>
              <w:rStyle w:val="16"/>
              <w:rFonts w:cstheme="minorHAnsi"/>
            </w:rPr>
            <w:t>VISIÓN DEL PESV</w:t>
          </w:r>
          <w:r>
            <w:tab/>
          </w:r>
          <w:r>
            <w:fldChar w:fldCharType="begin"/>
          </w:r>
          <w:r>
            <w:instrText xml:space="preserve"> PAGEREF _Toc188966774 \h </w:instrText>
          </w:r>
          <w:r>
            <w:fldChar w:fldCharType="separate"/>
          </w:r>
          <w:r>
            <w:t>11</w:t>
          </w:r>
          <w:r>
            <w:fldChar w:fldCharType="end"/>
          </w:r>
          <w:r>
            <w:fldChar w:fldCharType="end"/>
          </w:r>
        </w:p>
        <w:p w14:paraId="2CF1457C">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"_Toc188966775" </w:instrText>
          </w:r>
          <w:r>
            <w:fldChar w:fldCharType="separate"/>
          </w:r>
          <w:r>
            <w:rPr>
              <w:rStyle w:val="16"/>
              <w:rFonts w:cstheme="minorHAnsi"/>
            </w:rPr>
            <w:t>1.4.</w:t>
          </w:r>
          <w:r>
            <w:rPr>
              <w:rFonts w:asciiTheme="minorHAnsi" w:hAnsiTheme="minorHAnsi" w:eastAsiaTheme="minorEastAsia" w:cstheme="minorBidi"/>
              <w:lang w:eastAsia="es-CO"/>
            </w:rPr>
            <w:tab/>
          </w:r>
          <w:r>
            <w:rPr>
              <w:rStyle w:val="16"/>
              <w:rFonts w:cstheme="minorHAnsi"/>
            </w:rPr>
            <w:t>INTEGRACIÓN DEL PESV CON EL SUB SISTEMA DE SEGURIDAD Y SALUD EN EL TRABAJO.</w:t>
          </w:r>
          <w:r>
            <w:tab/>
          </w:r>
          <w:r>
            <w:fldChar w:fldCharType="begin"/>
          </w:r>
          <w:r>
            <w:instrText xml:space="preserve"> PAGEREF _Toc188966775 \h </w:instrText>
          </w:r>
          <w:r>
            <w:fldChar w:fldCharType="separate"/>
          </w:r>
          <w:r>
            <w:t>11</w:t>
          </w:r>
          <w:r>
            <w:fldChar w:fldCharType="end"/>
          </w:r>
          <w:r>
            <w:fldChar w:fldCharType="end"/>
          </w:r>
        </w:p>
        <w:p w14:paraId="3F038069">
          <w:pPr>
            <w:pStyle w:val="22"/>
            <w:rPr>
              <w:rFonts w:asciiTheme="minorHAnsi" w:hAnsiTheme="minorHAnsi" w:eastAsiaTheme="minorEastAsia" w:cstheme="minorBidi"/>
              <w:b w:val="0"/>
              <w:lang w:eastAsia="es-CO"/>
            </w:rPr>
          </w:pPr>
          <w:r>
            <w:fldChar w:fldCharType="begin"/>
          </w:r>
          <w:r>
            <w:instrText xml:space="preserve"> HYPERLINK \l "_Toc188966776" </w:instrText>
          </w:r>
          <w:r>
            <w:fldChar w:fldCharType="separate"/>
          </w:r>
          <w:r>
            <w:rPr>
              <w:rStyle w:val="16"/>
              <w:rFonts w:cstheme="minorHAnsi"/>
              <w:bCs/>
            </w:rPr>
            <w:t>2.</w:t>
          </w:r>
          <w:r>
            <w:rPr>
              <w:rFonts w:asciiTheme="minorHAnsi" w:hAnsiTheme="minorHAnsi" w:eastAsiaTheme="minorEastAsia" w:cstheme="minorBidi"/>
              <w:b w:val="0"/>
              <w:lang w:eastAsia="es-CO"/>
            </w:rPr>
            <w:tab/>
          </w:r>
          <w:r>
            <w:rPr>
              <w:rStyle w:val="16"/>
              <w:rFonts w:cstheme="minorHAnsi"/>
            </w:rPr>
            <w:t>PLANIFICACIÓN PLAN ESTRATEGICO DE SEGURIDAD VIAL PESV</w:t>
          </w:r>
          <w:r>
            <w:tab/>
          </w:r>
          <w:r>
            <w:fldChar w:fldCharType="begin"/>
          </w:r>
          <w:r>
            <w:instrText xml:space="preserve"> PAGEREF _Toc188966776 \h </w:instrText>
          </w:r>
          <w:r>
            <w:fldChar w:fldCharType="separate"/>
          </w:r>
          <w:r>
            <w:t>11</w:t>
          </w:r>
          <w:r>
            <w:fldChar w:fldCharType="end"/>
          </w:r>
          <w:r>
            <w:fldChar w:fldCharType="end"/>
          </w:r>
        </w:p>
        <w:p w14:paraId="0462183C">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"_Toc188966777" </w:instrText>
          </w:r>
          <w:r>
            <w:fldChar w:fldCharType="separate"/>
          </w:r>
          <w:r>
            <w:rPr>
              <w:rStyle w:val="16"/>
              <w:rFonts w:cstheme="minorHAnsi"/>
            </w:rPr>
            <w:t>2.1.</w:t>
          </w:r>
          <w:r>
            <w:rPr>
              <w:rFonts w:asciiTheme="minorHAnsi" w:hAnsiTheme="minorHAnsi" w:eastAsiaTheme="minorEastAsia" w:cstheme="minorBidi"/>
              <w:lang w:eastAsia="es-CO"/>
            </w:rPr>
            <w:tab/>
          </w:r>
          <w:r>
            <w:rPr>
              <w:rStyle w:val="16"/>
              <w:rFonts w:cstheme="minorHAnsi"/>
            </w:rPr>
            <w:t>LÍDER PLAN ESTRATEGICO DE SEGURIDAD VIAL</w:t>
          </w:r>
          <w:r>
            <w:tab/>
          </w:r>
          <w:r>
            <w:fldChar w:fldCharType="begin"/>
          </w:r>
          <w:r>
            <w:instrText xml:space="preserve"> PAGEREF _Toc188966777 \h </w:instrText>
          </w:r>
          <w:r>
            <w:fldChar w:fldCharType="separate"/>
          </w:r>
          <w:r>
            <w:t>11</w:t>
          </w:r>
          <w:r>
            <w:fldChar w:fldCharType="end"/>
          </w:r>
          <w:r>
            <w:fldChar w:fldCharType="end"/>
          </w:r>
        </w:p>
        <w:p w14:paraId="42487257">
          <w:pPr>
            <w:pStyle w:val="19"/>
            <w:tabs>
              <w:tab w:val="left" w:pos="1320"/>
              <w:tab w:val="right" w:leader="dot" w:pos="8828"/>
            </w:tabs>
            <w:rPr>
              <w:rFonts w:asciiTheme="minorHAnsi" w:hAnsiTheme="minorHAnsi" w:eastAsiaTheme="minorEastAsia" w:cstheme="minorBidi"/>
              <w:lang w:eastAsia="es-CO"/>
            </w:rPr>
          </w:pPr>
          <w:r>
            <w:fldChar w:fldCharType="begin"/>
          </w:r>
          <w:r>
            <w:instrText xml:space="preserve"> HYPERLINK \l "_Toc188966778" </w:instrText>
          </w:r>
          <w:r>
            <w:fldChar w:fldCharType="separate"/>
          </w:r>
          <w:r>
            <w:rPr>
              <w:rStyle w:val="16"/>
              <w:rFonts w:cstheme="minorHAnsi"/>
            </w:rPr>
            <w:t>2.1.1.</w:t>
          </w:r>
          <w:r>
            <w:rPr>
              <w:rFonts w:asciiTheme="minorHAnsi" w:hAnsiTheme="minorHAnsi" w:eastAsiaTheme="minorEastAsia" w:cstheme="minorBidi"/>
              <w:lang w:eastAsia="es-CO"/>
            </w:rPr>
            <w:tab/>
          </w:r>
          <w:r>
            <w:rPr>
              <w:rStyle w:val="16"/>
              <w:rFonts w:cstheme="minorHAnsi"/>
            </w:rPr>
            <w:t>Idoneidad del Líder del PESV</w:t>
          </w:r>
          <w:r>
            <w:tab/>
          </w:r>
          <w:r>
            <w:fldChar w:fldCharType="begin"/>
          </w:r>
          <w:r>
            <w:instrText xml:space="preserve"> PAGEREF _Toc188966778 \h </w:instrText>
          </w:r>
          <w:r>
            <w:fldChar w:fldCharType="separate"/>
          </w:r>
          <w:r>
            <w:t>12</w:t>
          </w:r>
          <w:r>
            <w:fldChar w:fldCharType="end"/>
          </w:r>
          <w:r>
            <w:fldChar w:fldCharType="end"/>
          </w:r>
        </w:p>
        <w:p w14:paraId="70574473">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"_Toc188966779" </w:instrText>
          </w:r>
          <w:r>
            <w:fldChar w:fldCharType="separate"/>
          </w:r>
          <w:r>
            <w:rPr>
              <w:rStyle w:val="16"/>
              <w:rFonts w:cstheme="minorHAnsi"/>
            </w:rPr>
            <w:t>2.2.</w:t>
          </w:r>
          <w:r>
            <w:rPr>
              <w:rFonts w:asciiTheme="minorHAnsi" w:hAnsiTheme="minorHAnsi" w:eastAsiaTheme="minorEastAsia" w:cstheme="minorBidi"/>
              <w:lang w:eastAsia="es-CO"/>
            </w:rPr>
            <w:tab/>
          </w:r>
          <w:r>
            <w:rPr>
              <w:rStyle w:val="16"/>
              <w:rFonts w:cstheme="minorHAnsi"/>
            </w:rPr>
            <w:t>COMITÉ DE SEGURIDAD VIAL</w:t>
          </w:r>
          <w:r>
            <w:tab/>
          </w:r>
          <w:r>
            <w:fldChar w:fldCharType="begin"/>
          </w:r>
          <w:r>
            <w:instrText xml:space="preserve"> PAGEREF _Toc188966779 \h </w:instrText>
          </w:r>
          <w:r>
            <w:fldChar w:fldCharType="separate"/>
          </w:r>
          <w:r>
            <w:t>12</w:t>
          </w:r>
          <w:r>
            <w:fldChar w:fldCharType="end"/>
          </w:r>
          <w:r>
            <w:fldChar w:fldCharType="end"/>
          </w:r>
        </w:p>
        <w:p w14:paraId="5EE9EF9A">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"_Toc188966780" </w:instrText>
          </w:r>
          <w:r>
            <w:fldChar w:fldCharType="separate"/>
          </w:r>
          <w:r>
            <w:rPr>
              <w:rStyle w:val="16"/>
              <w:rFonts w:cstheme="minorHAnsi"/>
            </w:rPr>
            <w:t>2.3.</w:t>
          </w:r>
          <w:r>
            <w:rPr>
              <w:rFonts w:asciiTheme="minorHAnsi" w:hAnsiTheme="minorHAnsi" w:eastAsiaTheme="minorEastAsia" w:cstheme="minorBidi"/>
              <w:lang w:eastAsia="es-CO"/>
            </w:rPr>
            <w:tab/>
          </w:r>
          <w:r>
            <w:rPr>
              <w:rStyle w:val="16"/>
              <w:rFonts w:cstheme="minorHAnsi"/>
            </w:rPr>
            <w:t>POLITICA DE SEGURIDAD VIAL</w:t>
          </w:r>
          <w:r>
            <w:tab/>
          </w:r>
          <w:r>
            <w:fldChar w:fldCharType="begin"/>
          </w:r>
          <w:r>
            <w:instrText xml:space="preserve"> PAGEREF _Toc188966780 \h </w:instrText>
          </w:r>
          <w:r>
            <w:fldChar w:fldCharType="separate"/>
          </w:r>
          <w:r>
            <w:t>17</w:t>
          </w:r>
          <w:r>
            <w:fldChar w:fldCharType="end"/>
          </w:r>
          <w:r>
            <w:fldChar w:fldCharType="end"/>
          </w:r>
        </w:p>
        <w:p w14:paraId="4F99E2A7">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"_Toc188966781" </w:instrText>
          </w:r>
          <w:r>
            <w:fldChar w:fldCharType="separate"/>
          </w:r>
          <w:r>
            <w:rPr>
              <w:rStyle w:val="16"/>
              <w:rFonts w:cstheme="minorHAnsi"/>
            </w:rPr>
            <w:t>2.4.</w:t>
          </w:r>
          <w:r>
            <w:rPr>
              <w:rFonts w:asciiTheme="minorHAnsi" w:hAnsiTheme="minorHAnsi" w:eastAsiaTheme="minorEastAsia" w:cstheme="minorBidi"/>
              <w:lang w:eastAsia="es-CO"/>
            </w:rPr>
            <w:tab/>
          </w:r>
          <w:r>
            <w:rPr>
              <w:rStyle w:val="16"/>
              <w:rFonts w:cstheme="minorHAnsi"/>
            </w:rPr>
            <w:t>DIRECTRICES DE LA ALTA DIRECCIÓN</w:t>
          </w:r>
          <w:r>
            <w:tab/>
          </w:r>
          <w:r>
            <w:fldChar w:fldCharType="begin"/>
          </w:r>
          <w:r>
            <w:instrText xml:space="preserve"> PAGEREF _Toc188966781 \h </w:instrText>
          </w:r>
          <w:r>
            <w:fldChar w:fldCharType="separate"/>
          </w:r>
          <w:r>
            <w:t>19</w:t>
          </w:r>
          <w:r>
            <w:fldChar w:fldCharType="end"/>
          </w:r>
          <w:r>
            <w:fldChar w:fldCharType="end"/>
          </w:r>
        </w:p>
        <w:p w14:paraId="5D98F63C">
          <w:pPr>
            <w:pStyle w:val="19"/>
            <w:tabs>
              <w:tab w:val="left" w:pos="1320"/>
              <w:tab w:val="right" w:leader="dot" w:pos="8828"/>
            </w:tabs>
            <w:rPr>
              <w:rFonts w:asciiTheme="minorHAnsi" w:hAnsiTheme="minorHAnsi" w:eastAsiaTheme="minorEastAsia" w:cstheme="minorBidi"/>
              <w:lang w:eastAsia="es-CO"/>
            </w:rPr>
          </w:pPr>
          <w:r>
            <w:fldChar w:fldCharType="begin"/>
          </w:r>
          <w:r>
            <w:instrText xml:space="preserve"> HYPERLINK \l "_Toc188966782" </w:instrText>
          </w:r>
          <w:r>
            <w:fldChar w:fldCharType="separate"/>
          </w:r>
          <w:r>
            <w:rPr>
              <w:rStyle w:val="16"/>
              <w:rFonts w:cstheme="minorHAnsi"/>
            </w:rPr>
            <w:t>2.4.1.</w:t>
          </w:r>
          <w:r>
            <w:rPr>
              <w:rFonts w:asciiTheme="minorHAnsi" w:hAnsiTheme="minorHAnsi" w:eastAsiaTheme="minorEastAsia" w:cstheme="minorBidi"/>
              <w:lang w:eastAsia="es-CO"/>
            </w:rPr>
            <w:tab/>
          </w:r>
          <w:r>
            <w:rPr>
              <w:rStyle w:val="16"/>
              <w:rFonts w:cstheme="minorHAnsi"/>
            </w:rPr>
            <w:t>PRESUPUESTO PARA IMPLEMENTACIÓN DEL PESV</w:t>
          </w:r>
          <w:r>
            <w:tab/>
          </w:r>
          <w:r>
            <w:fldChar w:fldCharType="begin"/>
          </w:r>
          <w:r>
            <w:instrText xml:space="preserve"> PAGEREF _Toc188966782 \h </w:instrText>
          </w:r>
          <w:r>
            <w:fldChar w:fldCharType="separate"/>
          </w:r>
          <w:r>
            <w:t>20</w:t>
          </w:r>
          <w:r>
            <w:fldChar w:fldCharType="end"/>
          </w:r>
          <w:r>
            <w:fldChar w:fldCharType="end"/>
          </w:r>
        </w:p>
        <w:p w14:paraId="502B4645">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"_Toc188966783" </w:instrText>
          </w:r>
          <w:r>
            <w:fldChar w:fldCharType="separate"/>
          </w:r>
          <w:r>
            <w:rPr>
              <w:rStyle w:val="16"/>
              <w:rFonts w:cstheme="minorHAnsi"/>
            </w:rPr>
            <w:t>2.5.</w:t>
          </w:r>
          <w:r>
            <w:rPr>
              <w:rFonts w:asciiTheme="minorHAnsi" w:hAnsiTheme="minorHAnsi" w:eastAsiaTheme="minorEastAsia" w:cstheme="minorBidi"/>
              <w:lang w:eastAsia="es-CO"/>
            </w:rPr>
            <w:tab/>
          </w:r>
          <w:r>
            <w:rPr>
              <w:rStyle w:val="16"/>
              <w:rFonts w:cstheme="minorHAnsi"/>
            </w:rPr>
            <w:t>DIAGNOSTICO</w:t>
          </w:r>
          <w:r>
            <w:tab/>
          </w:r>
          <w:r>
            <w:fldChar w:fldCharType="begin"/>
          </w:r>
          <w:r>
            <w:instrText xml:space="preserve"> PAGEREF _Toc188966783 \h </w:instrText>
          </w:r>
          <w:r>
            <w:fldChar w:fldCharType="separate"/>
          </w:r>
          <w:r>
            <w:t>20</w:t>
          </w:r>
          <w:r>
            <w:fldChar w:fldCharType="end"/>
          </w:r>
          <w:r>
            <w:fldChar w:fldCharType="end"/>
          </w:r>
        </w:p>
        <w:p w14:paraId="2733A32E">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"_Toc188966784" </w:instrText>
          </w:r>
          <w:r>
            <w:fldChar w:fldCharType="separate"/>
          </w:r>
          <w:r>
            <w:rPr>
              <w:rStyle w:val="16"/>
              <w:rFonts w:cstheme="minorHAnsi"/>
            </w:rPr>
            <w:t>2.6.</w:t>
          </w:r>
          <w:r>
            <w:rPr>
              <w:rFonts w:asciiTheme="minorHAnsi" w:hAnsiTheme="minorHAnsi" w:eastAsiaTheme="minorEastAsia" w:cstheme="minorBidi"/>
              <w:lang w:eastAsia="es-CO"/>
            </w:rPr>
            <w:tab/>
          </w:r>
          <w:r>
            <w:rPr>
              <w:rStyle w:val="16"/>
              <w:rFonts w:cstheme="minorHAnsi"/>
            </w:rPr>
            <w:t>CARACTERIZACIÓN, EVALUACIÓN Y CONTROL DE RIESGOS</w:t>
          </w:r>
          <w:r>
            <w:tab/>
          </w:r>
          <w:r>
            <w:fldChar w:fldCharType="begin"/>
          </w:r>
          <w:r>
            <w:instrText xml:space="preserve"> PAGEREF _Toc188966784 \h </w:instrText>
          </w:r>
          <w:r>
            <w:fldChar w:fldCharType="separate"/>
          </w:r>
          <w:r>
            <w:t>23</w:t>
          </w:r>
          <w:r>
            <w:fldChar w:fldCharType="end"/>
          </w:r>
          <w:r>
            <w:fldChar w:fldCharType="end"/>
          </w:r>
        </w:p>
        <w:p w14:paraId="0307D496">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"_Toc188966785" </w:instrText>
          </w:r>
          <w:r>
            <w:fldChar w:fldCharType="separate"/>
          </w:r>
          <w:r>
            <w:rPr>
              <w:rStyle w:val="16"/>
              <w:rFonts w:cstheme="minorHAnsi"/>
            </w:rPr>
            <w:t>2.7.</w:t>
          </w:r>
          <w:r>
            <w:rPr>
              <w:rFonts w:asciiTheme="minorHAnsi" w:hAnsiTheme="minorHAnsi" w:eastAsiaTheme="minorEastAsia" w:cstheme="minorBidi"/>
              <w:lang w:eastAsia="es-CO"/>
            </w:rPr>
            <w:tab/>
          </w:r>
          <w:r>
            <w:rPr>
              <w:rStyle w:val="16"/>
              <w:rFonts w:cstheme="minorHAnsi"/>
            </w:rPr>
            <w:t>OBJETIVOS Y METAS DEL PESV</w:t>
          </w:r>
          <w:r>
            <w:tab/>
          </w:r>
          <w:r>
            <w:fldChar w:fldCharType="begin"/>
          </w:r>
          <w:r>
            <w:instrText xml:space="preserve"> PAGEREF _Toc188966785 \h </w:instrText>
          </w:r>
          <w:r>
            <w:fldChar w:fldCharType="separate"/>
          </w:r>
          <w:r>
            <w:t>24</w:t>
          </w:r>
          <w:r>
            <w:fldChar w:fldCharType="end"/>
          </w:r>
          <w:r>
            <w:fldChar w:fldCharType="end"/>
          </w:r>
        </w:p>
        <w:p w14:paraId="5E732CCC">
          <w:pPr>
            <w:pStyle w:val="19"/>
            <w:tabs>
              <w:tab w:val="left" w:pos="1320"/>
              <w:tab w:val="right" w:leader="dot" w:pos="8828"/>
            </w:tabs>
            <w:rPr>
              <w:rFonts w:asciiTheme="minorHAnsi" w:hAnsiTheme="minorHAnsi" w:eastAsiaTheme="minorEastAsia" w:cstheme="minorBidi"/>
              <w:lang w:eastAsia="es-CO"/>
            </w:rPr>
          </w:pPr>
          <w:r>
            <w:fldChar w:fldCharType="begin"/>
          </w:r>
          <w:r>
            <w:instrText xml:space="preserve"> HYPERLINK \l "_Toc188966786" </w:instrText>
          </w:r>
          <w:r>
            <w:fldChar w:fldCharType="separate"/>
          </w:r>
          <w:r>
            <w:rPr>
              <w:rStyle w:val="16"/>
              <w:rFonts w:cstheme="minorHAnsi"/>
            </w:rPr>
            <w:t>2.7.1.</w:t>
          </w:r>
          <w:r>
            <w:rPr>
              <w:rFonts w:asciiTheme="minorHAnsi" w:hAnsiTheme="minorHAnsi" w:eastAsiaTheme="minorEastAsia" w:cstheme="minorBidi"/>
              <w:lang w:eastAsia="es-CO"/>
            </w:rPr>
            <w:tab/>
          </w:r>
          <w:r>
            <w:rPr>
              <w:rStyle w:val="16"/>
              <w:rFonts w:cstheme="minorHAnsi"/>
            </w:rPr>
            <w:t>OBJETIVO GENERAL</w:t>
          </w:r>
          <w:r>
            <w:tab/>
          </w:r>
          <w:r>
            <w:fldChar w:fldCharType="begin"/>
          </w:r>
          <w:r>
            <w:instrText xml:space="preserve"> PAGEREF _Toc188966786 \h </w:instrText>
          </w:r>
          <w:r>
            <w:fldChar w:fldCharType="separate"/>
          </w:r>
          <w:r>
            <w:t>24</w:t>
          </w:r>
          <w:r>
            <w:fldChar w:fldCharType="end"/>
          </w:r>
          <w:r>
            <w:fldChar w:fldCharType="end"/>
          </w:r>
        </w:p>
        <w:p w14:paraId="038A71B2">
          <w:pPr>
            <w:pStyle w:val="19"/>
            <w:tabs>
              <w:tab w:val="left" w:pos="1320"/>
              <w:tab w:val="right" w:leader="dot" w:pos="8828"/>
            </w:tabs>
            <w:rPr>
              <w:rFonts w:asciiTheme="minorHAnsi" w:hAnsiTheme="minorHAnsi" w:eastAsiaTheme="minorEastAsia" w:cstheme="minorBidi"/>
              <w:lang w:eastAsia="es-CO"/>
            </w:rPr>
          </w:pPr>
          <w:r>
            <w:fldChar w:fldCharType="begin"/>
          </w:r>
          <w:r>
            <w:instrText xml:space="preserve"> HYPERLINK \l "_Toc188966787" </w:instrText>
          </w:r>
          <w:r>
            <w:fldChar w:fldCharType="separate"/>
          </w:r>
          <w:r>
            <w:rPr>
              <w:rStyle w:val="16"/>
              <w:rFonts w:cstheme="minorHAnsi"/>
            </w:rPr>
            <w:t>2.7.2.</w:t>
          </w:r>
          <w:r>
            <w:rPr>
              <w:rFonts w:asciiTheme="minorHAnsi" w:hAnsiTheme="minorHAnsi" w:eastAsiaTheme="minorEastAsia" w:cstheme="minorBidi"/>
              <w:lang w:eastAsia="es-CO"/>
            </w:rPr>
            <w:tab/>
          </w:r>
          <w:r>
            <w:rPr>
              <w:rStyle w:val="16"/>
              <w:rFonts w:cstheme="minorHAnsi"/>
            </w:rPr>
            <w:t>OBJETIVOS ESPECÍFICOS</w:t>
          </w:r>
          <w:r>
            <w:tab/>
          </w:r>
          <w:r>
            <w:fldChar w:fldCharType="begin"/>
          </w:r>
          <w:r>
            <w:instrText xml:space="preserve"> PAGEREF _Toc188966787 \h </w:instrText>
          </w:r>
          <w:r>
            <w:fldChar w:fldCharType="separate"/>
          </w:r>
          <w:r>
            <w:t>25</w:t>
          </w:r>
          <w:r>
            <w:fldChar w:fldCharType="end"/>
          </w:r>
          <w:r>
            <w:fldChar w:fldCharType="end"/>
          </w:r>
        </w:p>
        <w:p w14:paraId="71386D23">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"_Toc188966788" </w:instrText>
          </w:r>
          <w:r>
            <w:fldChar w:fldCharType="separate"/>
          </w:r>
          <w:r>
            <w:rPr>
              <w:rStyle w:val="16"/>
              <w:rFonts w:cstheme="minorHAnsi"/>
            </w:rPr>
            <w:t>2.8.</w:t>
          </w:r>
          <w:r>
            <w:rPr>
              <w:rFonts w:asciiTheme="minorHAnsi" w:hAnsiTheme="minorHAnsi" w:eastAsiaTheme="minorEastAsia" w:cstheme="minorBidi"/>
              <w:lang w:eastAsia="es-CO"/>
            </w:rPr>
            <w:tab/>
          </w:r>
          <w:r>
            <w:rPr>
              <w:rStyle w:val="16"/>
              <w:rFonts w:cstheme="minorHAnsi"/>
            </w:rPr>
            <w:t>PROGRAMAS DE GESTIÓN DE RIESGO CRITICO</w:t>
          </w:r>
          <w:r>
            <w:tab/>
          </w:r>
          <w:r>
            <w:fldChar w:fldCharType="begin"/>
          </w:r>
          <w:r>
            <w:instrText xml:space="preserve"> PAGEREF _Toc188966788 \h </w:instrText>
          </w:r>
          <w:r>
            <w:fldChar w:fldCharType="separate"/>
          </w:r>
          <w:r>
            <w:t>25</w:t>
          </w:r>
          <w:r>
            <w:fldChar w:fldCharType="end"/>
          </w:r>
          <w:r>
            <w:fldChar w:fldCharType="end"/>
          </w:r>
        </w:p>
        <w:p w14:paraId="1CBFCFC1">
          <w:pPr>
            <w:pStyle w:val="19"/>
            <w:tabs>
              <w:tab w:val="left" w:pos="1320"/>
              <w:tab w:val="right" w:leader="dot" w:pos="8828"/>
            </w:tabs>
            <w:rPr>
              <w:rFonts w:asciiTheme="minorHAnsi" w:hAnsiTheme="minorHAnsi" w:eastAsiaTheme="minorEastAsia" w:cstheme="minorBidi"/>
              <w:lang w:eastAsia="es-CO"/>
            </w:rPr>
          </w:pPr>
          <w:r>
            <w:fldChar w:fldCharType="begin"/>
          </w:r>
          <w:r>
            <w:instrText xml:space="preserve"> HYPERLINK \l "_Toc188966789" </w:instrText>
          </w:r>
          <w:r>
            <w:fldChar w:fldCharType="separate"/>
          </w:r>
          <w:r>
            <w:rPr>
              <w:rStyle w:val="16"/>
              <w:rFonts w:cstheme="minorHAnsi"/>
            </w:rPr>
            <w:t>2.8.1.</w:t>
          </w:r>
          <w:r>
            <w:rPr>
              <w:rFonts w:asciiTheme="minorHAnsi" w:hAnsiTheme="minorHAnsi" w:eastAsiaTheme="minorEastAsia" w:cstheme="minorBidi"/>
              <w:lang w:eastAsia="es-CO"/>
            </w:rPr>
            <w:tab/>
          </w:r>
          <w:r>
            <w:rPr>
              <w:rStyle w:val="16"/>
              <w:rFonts w:cstheme="minorHAnsi"/>
            </w:rPr>
            <w:t>POLÍTICAS DE REGULACIÓN DE SEGURIDAD VIAL</w:t>
          </w:r>
          <w:r>
            <w:tab/>
          </w:r>
          <w:r>
            <w:fldChar w:fldCharType="begin"/>
          </w:r>
          <w:r>
            <w:instrText xml:space="preserve"> PAGEREF _Toc188966789 \h </w:instrText>
          </w:r>
          <w:r>
            <w:fldChar w:fldCharType="separate"/>
          </w:r>
          <w:r>
            <w:t>25</w:t>
          </w:r>
          <w:r>
            <w:fldChar w:fldCharType="end"/>
          </w:r>
          <w:r>
            <w:fldChar w:fldCharType="end"/>
          </w:r>
        </w:p>
        <w:p w14:paraId="0591D24B">
          <w:pPr>
            <w:pStyle w:val="22"/>
            <w:rPr>
              <w:rFonts w:asciiTheme="minorHAnsi" w:hAnsiTheme="minorHAnsi" w:eastAsiaTheme="minorEastAsia" w:cstheme="minorBidi"/>
              <w:b w:val="0"/>
              <w:lang w:eastAsia="es-CO"/>
            </w:rPr>
          </w:pPr>
          <w:r>
            <w:fldChar w:fldCharType="begin"/>
          </w:r>
          <w:r>
            <w:instrText xml:space="preserve"> HYPERLINK \l "_Toc188966790" </w:instrText>
          </w:r>
          <w:r>
            <w:fldChar w:fldCharType="separate"/>
          </w:r>
          <w:r>
            <w:rPr>
              <w:rStyle w:val="16"/>
              <w:rFonts w:cstheme="minorHAnsi"/>
            </w:rPr>
            <w:t>3.</w:t>
          </w:r>
          <w:r>
            <w:rPr>
              <w:rFonts w:asciiTheme="minorHAnsi" w:hAnsiTheme="minorHAnsi" w:eastAsiaTheme="minorEastAsia" w:cstheme="minorBidi"/>
              <w:b w:val="0"/>
              <w:lang w:eastAsia="es-CO"/>
            </w:rPr>
            <w:tab/>
          </w:r>
          <w:r>
            <w:rPr>
              <w:rStyle w:val="16"/>
              <w:rFonts w:cstheme="minorHAnsi"/>
            </w:rPr>
            <w:t>IMPLEMENTACIÓN Y EJECUCIÓN DEL PLAN ESTRATEGICO DE SEGURIDAD VIAL</w:t>
          </w:r>
          <w:r>
            <w:tab/>
          </w:r>
          <w:r>
            <w:fldChar w:fldCharType="begin"/>
          </w:r>
          <w:r>
            <w:instrText xml:space="preserve"> PAGEREF _Toc188966790 \h </w:instrText>
          </w:r>
          <w:r>
            <w:fldChar w:fldCharType="separate"/>
          </w:r>
          <w:r>
            <w:t>29</w:t>
          </w:r>
          <w:r>
            <w:fldChar w:fldCharType="end"/>
          </w:r>
          <w:r>
            <w:fldChar w:fldCharType="end"/>
          </w:r>
        </w:p>
        <w:p w14:paraId="463D3D0B">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"_Toc188966791" </w:instrText>
          </w:r>
          <w:r>
            <w:fldChar w:fldCharType="separate"/>
          </w:r>
          <w:r>
            <w:rPr>
              <w:rStyle w:val="16"/>
              <w:rFonts w:cstheme="minorHAnsi"/>
            </w:rPr>
            <w:t>3.1.</w:t>
          </w:r>
          <w:r>
            <w:rPr>
              <w:rFonts w:asciiTheme="minorHAnsi" w:hAnsiTheme="minorHAnsi" w:eastAsiaTheme="minorEastAsia" w:cstheme="minorBidi"/>
              <w:lang w:eastAsia="es-CO"/>
            </w:rPr>
            <w:tab/>
          </w:r>
          <w:r>
            <w:rPr>
              <w:rStyle w:val="16"/>
              <w:rFonts w:cstheme="minorHAnsi"/>
            </w:rPr>
            <w:t>PLAN ANUAL DE TRABAJO</w:t>
          </w:r>
          <w:r>
            <w:tab/>
          </w:r>
          <w:r>
            <w:fldChar w:fldCharType="begin"/>
          </w:r>
          <w:r>
            <w:instrText xml:space="preserve"> PAGEREF _Toc188966791 \h </w:instrText>
          </w:r>
          <w:r>
            <w:fldChar w:fldCharType="separate"/>
          </w:r>
          <w:r>
            <w:t>29</w:t>
          </w:r>
          <w:r>
            <w:fldChar w:fldCharType="end"/>
          </w:r>
          <w:r>
            <w:fldChar w:fldCharType="end"/>
          </w:r>
        </w:p>
        <w:p w14:paraId="365BB8DF">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"_Toc188966792" </w:instrText>
          </w:r>
          <w:r>
            <w:fldChar w:fldCharType="separate"/>
          </w:r>
          <w:r>
            <w:rPr>
              <w:rStyle w:val="16"/>
              <w:rFonts w:cstheme="minorHAnsi"/>
            </w:rPr>
            <w:t>3.2.</w:t>
          </w:r>
          <w:r>
            <w:rPr>
              <w:rFonts w:asciiTheme="minorHAnsi" w:hAnsiTheme="minorHAnsi" w:eastAsiaTheme="minorEastAsia" w:cstheme="minorBidi"/>
              <w:lang w:eastAsia="es-CO"/>
            </w:rPr>
            <w:tab/>
          </w:r>
          <w:r>
            <w:rPr>
              <w:rStyle w:val="16"/>
              <w:rFonts w:cstheme="minorHAnsi"/>
            </w:rPr>
            <w:t>COMPETENCIA Y PLAN ANUAL DE FORMACIÓN</w:t>
          </w:r>
          <w:r>
            <w:tab/>
          </w:r>
          <w:r>
            <w:fldChar w:fldCharType="begin"/>
          </w:r>
          <w:r>
            <w:instrText xml:space="preserve"> PAGEREF _Toc188966792 \h </w:instrText>
          </w:r>
          <w:r>
            <w:fldChar w:fldCharType="separate"/>
          </w:r>
          <w:r>
            <w:t>29</w:t>
          </w:r>
          <w:r>
            <w:fldChar w:fldCharType="end"/>
          </w:r>
          <w:r>
            <w:fldChar w:fldCharType="end"/>
          </w:r>
        </w:p>
        <w:p w14:paraId="77D00FBC">
          <w:pPr>
            <w:pStyle w:val="19"/>
            <w:tabs>
              <w:tab w:val="left" w:pos="1320"/>
              <w:tab w:val="right" w:leader="dot" w:pos="8828"/>
            </w:tabs>
            <w:rPr>
              <w:rFonts w:asciiTheme="minorHAnsi" w:hAnsiTheme="minorHAnsi" w:eastAsiaTheme="minorEastAsia" w:cstheme="minorBidi"/>
              <w:lang w:eastAsia="es-CO"/>
            </w:rPr>
          </w:pPr>
          <w:r>
            <w:fldChar w:fldCharType="begin"/>
          </w:r>
          <w:r>
            <w:instrText xml:space="preserve"> HYPERLINK \l "_Toc188966793" </w:instrText>
          </w:r>
          <w:r>
            <w:fldChar w:fldCharType="separate"/>
          </w:r>
          <w:r>
            <w:rPr>
              <w:rStyle w:val="16"/>
              <w:rFonts w:cstheme="minorHAnsi"/>
            </w:rPr>
            <w:t>3.2.1.</w:t>
          </w:r>
          <w:r>
            <w:rPr>
              <w:rFonts w:asciiTheme="minorHAnsi" w:hAnsiTheme="minorHAnsi" w:eastAsiaTheme="minorEastAsia" w:cstheme="minorBidi"/>
              <w:lang w:eastAsia="es-CO"/>
            </w:rPr>
            <w:tab/>
          </w:r>
          <w:r>
            <w:rPr>
              <w:rStyle w:val="16"/>
              <w:rFonts w:cstheme="minorHAnsi"/>
            </w:rPr>
            <w:t>COMPETENCIA EN SEGURIDAD VIAL</w:t>
          </w:r>
          <w:r>
            <w:tab/>
          </w:r>
          <w:r>
            <w:fldChar w:fldCharType="begin"/>
          </w:r>
          <w:r>
            <w:instrText xml:space="preserve"> PAGEREF _Toc188966793 \h </w:instrText>
          </w:r>
          <w:r>
            <w:fldChar w:fldCharType="separate"/>
          </w:r>
          <w:r>
            <w:t>29</w:t>
          </w:r>
          <w:r>
            <w:fldChar w:fldCharType="end"/>
          </w:r>
          <w:r>
            <w:fldChar w:fldCharType="end"/>
          </w:r>
        </w:p>
        <w:p w14:paraId="03F89F81">
          <w:pPr>
            <w:pStyle w:val="19"/>
            <w:tabs>
              <w:tab w:val="left" w:pos="1320"/>
              <w:tab w:val="right" w:leader="dot" w:pos="8828"/>
            </w:tabs>
            <w:rPr>
              <w:rFonts w:asciiTheme="minorHAnsi" w:hAnsiTheme="minorHAnsi" w:eastAsiaTheme="minorEastAsia" w:cstheme="minorBidi"/>
              <w:lang w:eastAsia="es-CO"/>
            </w:rPr>
          </w:pPr>
          <w:r>
            <w:fldChar w:fldCharType="begin"/>
          </w:r>
          <w:r>
            <w:instrText xml:space="preserve"> HYPERLINK \l "_Toc188966794" </w:instrText>
          </w:r>
          <w:r>
            <w:fldChar w:fldCharType="separate"/>
          </w:r>
          <w:r>
            <w:rPr>
              <w:rStyle w:val="16"/>
              <w:rFonts w:cstheme="minorHAnsi"/>
            </w:rPr>
            <w:t>3.2.2.</w:t>
          </w:r>
          <w:r>
            <w:rPr>
              <w:rFonts w:asciiTheme="minorHAnsi" w:hAnsiTheme="minorHAnsi" w:eastAsiaTheme="minorEastAsia" w:cstheme="minorBidi"/>
              <w:lang w:eastAsia="es-CO"/>
            </w:rPr>
            <w:tab/>
          </w:r>
          <w:r>
            <w:rPr>
              <w:rStyle w:val="16"/>
              <w:rFonts w:cstheme="minorHAnsi"/>
            </w:rPr>
            <w:t>PLAN ANUAL DE FORMACIÓN</w:t>
          </w:r>
          <w:r>
            <w:tab/>
          </w:r>
          <w:r>
            <w:fldChar w:fldCharType="begin"/>
          </w:r>
          <w:r>
            <w:instrText xml:space="preserve"> PAGEREF _Toc188966794 \h </w:instrText>
          </w:r>
          <w:r>
            <w:fldChar w:fldCharType="separate"/>
          </w:r>
          <w:r>
            <w:t>30</w:t>
          </w:r>
          <w:r>
            <w:fldChar w:fldCharType="end"/>
          </w:r>
          <w:r>
            <w:fldChar w:fldCharType="end"/>
          </w:r>
        </w:p>
        <w:p w14:paraId="740BC33E">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"_Toc188966795" </w:instrText>
          </w:r>
          <w:r>
            <w:fldChar w:fldCharType="separate"/>
          </w:r>
          <w:r>
            <w:rPr>
              <w:rStyle w:val="16"/>
              <w:rFonts w:cstheme="minorHAnsi"/>
            </w:rPr>
            <w:t>3.3.</w:t>
          </w:r>
          <w:r>
            <w:rPr>
              <w:rFonts w:asciiTheme="minorHAnsi" w:hAnsiTheme="minorHAnsi" w:eastAsiaTheme="minorEastAsia" w:cstheme="minorBidi"/>
              <w:lang w:eastAsia="es-CO"/>
            </w:rPr>
            <w:tab/>
          </w:r>
          <w:r>
            <w:rPr>
              <w:rStyle w:val="16"/>
              <w:rFonts w:cstheme="minorHAnsi"/>
            </w:rPr>
            <w:t>RESPONSABILIDAD Y COMPORTAMIENTO SEGURO</w:t>
          </w:r>
          <w:r>
            <w:tab/>
          </w:r>
          <w:r>
            <w:fldChar w:fldCharType="begin"/>
          </w:r>
          <w:r>
            <w:instrText xml:space="preserve"> PAGEREF _Toc188966795 \h </w:instrText>
          </w:r>
          <w:r>
            <w:fldChar w:fldCharType="separate"/>
          </w:r>
          <w:r>
            <w:t>32</w:t>
          </w:r>
          <w:r>
            <w:fldChar w:fldCharType="end"/>
          </w:r>
          <w:r>
            <w:fldChar w:fldCharType="end"/>
          </w:r>
        </w:p>
        <w:p w14:paraId="024E2840">
          <w:pPr>
            <w:pStyle w:val="19"/>
            <w:tabs>
              <w:tab w:val="left" w:pos="1320"/>
              <w:tab w:val="right" w:leader="dot" w:pos="8828"/>
            </w:tabs>
            <w:rPr>
              <w:rFonts w:asciiTheme="minorHAnsi" w:hAnsiTheme="minorHAnsi" w:eastAsiaTheme="minorEastAsia" w:cstheme="minorBidi"/>
              <w:lang w:eastAsia="es-CO"/>
            </w:rPr>
          </w:pPr>
          <w:r>
            <w:fldChar w:fldCharType="begin"/>
          </w:r>
          <w:r>
            <w:instrText xml:space="preserve"> HYPERLINK \l "_Toc188966796" </w:instrText>
          </w:r>
          <w:r>
            <w:fldChar w:fldCharType="separate"/>
          </w:r>
          <w:r>
            <w:rPr>
              <w:rStyle w:val="16"/>
              <w:rFonts w:cstheme="minorHAnsi"/>
            </w:rPr>
            <w:t>3.3.1.</w:t>
          </w:r>
          <w:r>
            <w:rPr>
              <w:rFonts w:asciiTheme="minorHAnsi" w:hAnsiTheme="minorHAnsi" w:eastAsiaTheme="minorEastAsia" w:cstheme="minorBidi"/>
              <w:lang w:eastAsia="es-CO"/>
            </w:rPr>
            <w:tab/>
          </w:r>
          <w:r>
            <w:rPr>
              <w:rStyle w:val="16"/>
              <w:rFonts w:cstheme="minorHAnsi"/>
            </w:rPr>
            <w:t>PROCEDIMIENTOS DE CONTRATACIÓN</w:t>
          </w:r>
          <w:r>
            <w:tab/>
          </w:r>
          <w:r>
            <w:fldChar w:fldCharType="begin"/>
          </w:r>
          <w:r>
            <w:instrText xml:space="preserve"> PAGEREF _Toc188966796 \h </w:instrText>
          </w:r>
          <w:r>
            <w:fldChar w:fldCharType="separate"/>
          </w:r>
          <w:r>
            <w:t>32</w:t>
          </w:r>
          <w:r>
            <w:fldChar w:fldCharType="end"/>
          </w:r>
          <w:r>
            <w:fldChar w:fldCharType="end"/>
          </w:r>
        </w:p>
        <w:p w14:paraId="0B6AC325">
          <w:pPr>
            <w:pStyle w:val="19"/>
            <w:tabs>
              <w:tab w:val="left" w:pos="1540"/>
              <w:tab w:val="right" w:leader="dot" w:pos="8828"/>
            </w:tabs>
            <w:rPr>
              <w:rFonts w:asciiTheme="minorHAnsi" w:hAnsiTheme="minorHAnsi" w:eastAsiaTheme="minorEastAsia" w:cstheme="minorBidi"/>
              <w:lang w:eastAsia="es-CO"/>
            </w:rPr>
          </w:pPr>
          <w:r>
            <w:fldChar w:fldCharType="begin"/>
          </w:r>
          <w:r>
            <w:instrText xml:space="preserve"> HYPERLINK \l "_Toc188966797" </w:instrText>
          </w:r>
          <w:r>
            <w:fldChar w:fldCharType="separate"/>
          </w:r>
          <w:r>
            <w:rPr>
              <w:rStyle w:val="16"/>
              <w:rFonts w:cstheme="minorHAnsi"/>
              <w:iCs/>
            </w:rPr>
            <w:t>3.3.1.1.</w:t>
          </w:r>
          <w:r>
            <w:rPr>
              <w:rFonts w:asciiTheme="minorHAnsi" w:hAnsiTheme="minorHAnsi" w:eastAsiaTheme="minorEastAsia" w:cstheme="minorBidi"/>
              <w:lang w:eastAsia="es-CO"/>
            </w:rPr>
            <w:tab/>
          </w:r>
          <w:r>
            <w:rPr>
              <w:rStyle w:val="16"/>
              <w:rFonts w:cstheme="minorHAnsi"/>
              <w:iCs/>
            </w:rPr>
            <w:t>SELECCIÓN DE PERSONAL</w:t>
          </w:r>
          <w:r>
            <w:tab/>
          </w:r>
          <w:r>
            <w:fldChar w:fldCharType="begin"/>
          </w:r>
          <w:r>
            <w:instrText xml:space="preserve"> PAGEREF _Toc188966797 \h </w:instrText>
          </w:r>
          <w:r>
            <w:fldChar w:fldCharType="separate"/>
          </w:r>
          <w:r>
            <w:t>33</w:t>
          </w:r>
          <w:r>
            <w:fldChar w:fldCharType="end"/>
          </w:r>
          <w:r>
            <w:fldChar w:fldCharType="end"/>
          </w:r>
        </w:p>
        <w:p w14:paraId="19CD1626">
          <w:pPr>
            <w:pStyle w:val="19"/>
            <w:tabs>
              <w:tab w:val="left" w:pos="1540"/>
              <w:tab w:val="right" w:leader="dot" w:pos="8828"/>
            </w:tabs>
            <w:rPr>
              <w:rFonts w:asciiTheme="minorHAnsi" w:hAnsiTheme="minorHAnsi" w:eastAsiaTheme="minorEastAsia" w:cstheme="minorBidi"/>
              <w:lang w:eastAsia="es-CO"/>
            </w:rPr>
          </w:pPr>
          <w:r>
            <w:fldChar w:fldCharType="begin"/>
          </w:r>
          <w:r>
            <w:instrText xml:space="preserve"> HYPERLINK \l "_Toc188966798" </w:instrText>
          </w:r>
          <w:r>
            <w:fldChar w:fldCharType="separate"/>
          </w:r>
          <w:r>
            <w:rPr>
              <w:rStyle w:val="16"/>
              <w:rFonts w:cstheme="minorHAnsi"/>
              <w:iCs/>
            </w:rPr>
            <w:t>3.3.1.2.</w:t>
          </w:r>
          <w:r>
            <w:rPr>
              <w:rFonts w:asciiTheme="minorHAnsi" w:hAnsiTheme="minorHAnsi" w:eastAsiaTheme="minorEastAsia" w:cstheme="minorBidi"/>
              <w:lang w:eastAsia="es-CO"/>
            </w:rPr>
            <w:tab/>
          </w:r>
          <w:r>
            <w:rPr>
              <w:rStyle w:val="16"/>
              <w:rFonts w:cstheme="minorHAnsi"/>
              <w:iCs/>
            </w:rPr>
            <w:t>PRUEBAS DE INGRESO</w:t>
          </w:r>
          <w:r>
            <w:tab/>
          </w:r>
          <w:r>
            <w:fldChar w:fldCharType="begin"/>
          </w:r>
          <w:r>
            <w:instrText xml:space="preserve"> PAGEREF _Toc188966798 \h </w:instrText>
          </w:r>
          <w:r>
            <w:fldChar w:fldCharType="separate"/>
          </w:r>
          <w:r>
            <w:t>33</w:t>
          </w:r>
          <w:r>
            <w:fldChar w:fldCharType="end"/>
          </w:r>
          <w:r>
            <w:fldChar w:fldCharType="end"/>
          </w:r>
        </w:p>
        <w:p w14:paraId="6BD760A5">
          <w:pPr>
            <w:pStyle w:val="19"/>
            <w:tabs>
              <w:tab w:val="left" w:pos="1320"/>
              <w:tab w:val="right" w:leader="dot" w:pos="8828"/>
            </w:tabs>
            <w:rPr>
              <w:rFonts w:asciiTheme="minorHAnsi" w:hAnsiTheme="minorHAnsi" w:eastAsiaTheme="minorEastAsia" w:cstheme="minorBidi"/>
              <w:lang w:eastAsia="es-CO"/>
            </w:rPr>
          </w:pPr>
          <w:r>
            <w:fldChar w:fldCharType="begin"/>
          </w:r>
          <w:r>
            <w:instrText xml:space="preserve"> HYPERLINK \l "_Toc188966799" </w:instrText>
          </w:r>
          <w:r>
            <w:fldChar w:fldCharType="separate"/>
          </w:r>
          <w:r>
            <w:rPr>
              <w:rStyle w:val="16"/>
              <w:rFonts w:cstheme="minorHAnsi"/>
            </w:rPr>
            <w:t>3.3.2.</w:t>
          </w:r>
          <w:r>
            <w:rPr>
              <w:rFonts w:asciiTheme="minorHAnsi" w:hAnsiTheme="minorHAnsi" w:eastAsiaTheme="minorEastAsia" w:cstheme="minorBidi"/>
              <w:lang w:eastAsia="es-CO"/>
            </w:rPr>
            <w:tab/>
          </w:r>
          <w:r>
            <w:rPr>
              <w:rStyle w:val="16"/>
              <w:rFonts w:cstheme="minorHAnsi"/>
            </w:rPr>
            <w:t>FUNCIONES Y RESPONSABILIDADES EN SEGURIDAD VIAL</w:t>
          </w:r>
          <w:r>
            <w:tab/>
          </w:r>
          <w:r>
            <w:fldChar w:fldCharType="begin"/>
          </w:r>
          <w:r>
            <w:instrText xml:space="preserve"> PAGEREF _Toc188966799 \h </w:instrText>
          </w:r>
          <w:r>
            <w:fldChar w:fldCharType="separate"/>
          </w:r>
          <w:r>
            <w:t>36</w:t>
          </w:r>
          <w:r>
            <w:fldChar w:fldCharType="end"/>
          </w:r>
          <w:r>
            <w:fldChar w:fldCharType="end"/>
          </w:r>
        </w:p>
        <w:p w14:paraId="40A39B61">
          <w:pPr>
            <w:pStyle w:val="19"/>
            <w:tabs>
              <w:tab w:val="left" w:pos="1540"/>
              <w:tab w:val="right" w:leader="dot" w:pos="8828"/>
            </w:tabs>
            <w:rPr>
              <w:rFonts w:asciiTheme="minorHAnsi" w:hAnsiTheme="minorHAnsi" w:eastAsiaTheme="minorEastAsia" w:cstheme="minorBidi"/>
              <w:lang w:eastAsia="es-CO"/>
            </w:rPr>
          </w:pPr>
          <w:r>
            <w:fldChar w:fldCharType="begin"/>
          </w:r>
          <w:r>
            <w:instrText xml:space="preserve"> HYPERLINK \l "_Toc188966800" </w:instrText>
          </w:r>
          <w:r>
            <w:fldChar w:fldCharType="separate"/>
          </w:r>
          <w:r>
            <w:rPr>
              <w:rStyle w:val="16"/>
              <w:rFonts w:cstheme="minorHAnsi"/>
              <w:iCs/>
            </w:rPr>
            <w:t>3.3.2.1.</w:t>
          </w:r>
          <w:r>
            <w:rPr>
              <w:rFonts w:asciiTheme="minorHAnsi" w:hAnsiTheme="minorHAnsi" w:eastAsiaTheme="minorEastAsia" w:cstheme="minorBidi"/>
              <w:lang w:eastAsia="es-CO"/>
            </w:rPr>
            <w:tab/>
          </w:r>
          <w:r>
            <w:rPr>
              <w:rStyle w:val="16"/>
              <w:rFonts w:cstheme="minorHAnsi"/>
              <w:iCs/>
            </w:rPr>
            <w:t>CONTROL DOCUMENTACIÓN DE CONDUCTORES</w:t>
          </w:r>
          <w:r>
            <w:tab/>
          </w:r>
          <w:r>
            <w:fldChar w:fldCharType="begin"/>
          </w:r>
          <w:r>
            <w:instrText xml:space="preserve"> PAGEREF _Toc188966800 \h </w:instrText>
          </w:r>
          <w:r>
            <w:fldChar w:fldCharType="separate"/>
          </w:r>
          <w:r>
            <w:t>36</w:t>
          </w:r>
          <w:r>
            <w:fldChar w:fldCharType="end"/>
          </w:r>
          <w:r>
            <w:fldChar w:fldCharType="end"/>
          </w:r>
        </w:p>
        <w:p w14:paraId="5F8CBD04">
          <w:pPr>
            <w:pStyle w:val="19"/>
            <w:tabs>
              <w:tab w:val="left" w:pos="1540"/>
              <w:tab w:val="right" w:leader="dot" w:pos="8828"/>
            </w:tabs>
            <w:rPr>
              <w:rFonts w:asciiTheme="minorHAnsi" w:hAnsiTheme="minorHAnsi" w:eastAsiaTheme="minorEastAsia" w:cstheme="minorBidi"/>
              <w:lang w:eastAsia="es-CO"/>
            </w:rPr>
          </w:pPr>
          <w:r>
            <w:fldChar w:fldCharType="begin"/>
          </w:r>
          <w:r>
            <w:instrText xml:space="preserve"> HYPERLINK \l "_Toc188966801" </w:instrText>
          </w:r>
          <w:r>
            <w:fldChar w:fldCharType="separate"/>
          </w:r>
          <w:r>
            <w:rPr>
              <w:rStyle w:val="16"/>
              <w:rFonts w:cstheme="minorHAnsi"/>
              <w:iCs/>
            </w:rPr>
            <w:t>3.3.2.2.</w:t>
          </w:r>
          <w:r>
            <w:rPr>
              <w:rFonts w:asciiTheme="minorHAnsi" w:hAnsiTheme="minorHAnsi" w:eastAsiaTheme="minorEastAsia" w:cstheme="minorBidi"/>
              <w:lang w:eastAsia="es-CO"/>
            </w:rPr>
            <w:tab/>
          </w:r>
          <w:r>
            <w:rPr>
              <w:rStyle w:val="16"/>
              <w:rFonts w:cstheme="minorHAnsi"/>
              <w:iCs/>
            </w:rPr>
            <w:t>GESTIÓN DE INFRACCIONES DE TRANSITO</w:t>
          </w:r>
          <w:r>
            <w:tab/>
          </w:r>
          <w:r>
            <w:fldChar w:fldCharType="begin"/>
          </w:r>
          <w:r>
            <w:instrText xml:space="preserve"> PAGEREF _Toc188966801 \h </w:instrText>
          </w:r>
          <w:r>
            <w:fldChar w:fldCharType="separate"/>
          </w:r>
          <w:r>
            <w:t>36</w:t>
          </w:r>
          <w:r>
            <w:fldChar w:fldCharType="end"/>
          </w:r>
          <w:r>
            <w:fldChar w:fldCharType="end"/>
          </w:r>
        </w:p>
        <w:p w14:paraId="353C280F">
          <w:pPr>
            <w:pStyle w:val="19"/>
            <w:tabs>
              <w:tab w:val="left" w:pos="1320"/>
              <w:tab w:val="right" w:leader="dot" w:pos="8828"/>
            </w:tabs>
            <w:rPr>
              <w:rFonts w:asciiTheme="minorHAnsi" w:hAnsiTheme="minorHAnsi" w:eastAsiaTheme="minorEastAsia" w:cstheme="minorBidi"/>
              <w:lang w:eastAsia="es-CO"/>
            </w:rPr>
          </w:pPr>
          <w:r>
            <w:fldChar w:fldCharType="begin"/>
          </w:r>
          <w:r>
            <w:instrText xml:space="preserve"> HYPERLINK \l "_Toc188966802" </w:instrText>
          </w:r>
          <w:r>
            <w:fldChar w:fldCharType="separate"/>
          </w:r>
          <w:r>
            <w:rPr>
              <w:rStyle w:val="16"/>
              <w:rFonts w:cstheme="minorHAnsi"/>
            </w:rPr>
            <w:t>3.3.3.</w:t>
          </w:r>
          <w:r>
            <w:rPr>
              <w:rFonts w:asciiTheme="minorHAnsi" w:hAnsiTheme="minorHAnsi" w:eastAsiaTheme="minorEastAsia" w:cstheme="minorBidi"/>
              <w:lang w:eastAsia="es-CO"/>
            </w:rPr>
            <w:tab/>
          </w:r>
          <w:r>
            <w:rPr>
              <w:rStyle w:val="16"/>
              <w:rFonts w:cstheme="minorHAnsi"/>
            </w:rPr>
            <w:t>EVALUACIÓN DE COMPORTAMIENTO RELACIONADO CON LA SEGURIDAD VIAL</w:t>
          </w:r>
          <w:r>
            <w:tab/>
          </w:r>
          <w:r>
            <w:fldChar w:fldCharType="begin"/>
          </w:r>
          <w:r>
            <w:instrText xml:space="preserve"> PAGEREF _Toc188966802 \h </w:instrText>
          </w:r>
          <w:r>
            <w:fldChar w:fldCharType="separate"/>
          </w:r>
          <w:r>
            <w:t>39</w:t>
          </w:r>
          <w:r>
            <w:fldChar w:fldCharType="end"/>
          </w:r>
          <w:r>
            <w:fldChar w:fldCharType="end"/>
          </w:r>
        </w:p>
        <w:p w14:paraId="5FD9869D">
          <w:pPr>
            <w:pStyle w:val="19"/>
            <w:tabs>
              <w:tab w:val="left" w:pos="1320"/>
              <w:tab w:val="right" w:leader="dot" w:pos="8828"/>
            </w:tabs>
            <w:rPr>
              <w:rFonts w:asciiTheme="minorHAnsi" w:hAnsiTheme="minorHAnsi" w:eastAsiaTheme="minorEastAsia" w:cstheme="minorBidi"/>
              <w:lang w:eastAsia="es-CO"/>
            </w:rPr>
          </w:pPr>
          <w:r>
            <w:fldChar w:fldCharType="begin"/>
          </w:r>
          <w:r>
            <w:instrText xml:space="preserve"> HYPERLINK \l "_Toc188966803" </w:instrText>
          </w:r>
          <w:r>
            <w:fldChar w:fldCharType="separate"/>
          </w:r>
          <w:r>
            <w:rPr>
              <w:rStyle w:val="16"/>
              <w:rFonts w:cstheme="minorHAnsi"/>
            </w:rPr>
            <w:t>3.3.4.</w:t>
          </w:r>
          <w:r>
            <w:rPr>
              <w:rFonts w:asciiTheme="minorHAnsi" w:hAnsiTheme="minorHAnsi" w:eastAsiaTheme="minorEastAsia" w:cstheme="minorBidi"/>
              <w:lang w:eastAsia="es-CO"/>
            </w:rPr>
            <w:tab/>
          </w:r>
          <w:r>
            <w:rPr>
              <w:rStyle w:val="16"/>
              <w:rFonts w:cstheme="minorHAnsi"/>
            </w:rPr>
            <w:t>ESTRATEGIA PARA PROMOVER LA FORMACIÓN DE HABITOS, COMPORTAMIENTOS Y CONDUCTAS SEGURAS EN LA VIA</w:t>
          </w:r>
          <w:r>
            <w:tab/>
          </w:r>
          <w:r>
            <w:fldChar w:fldCharType="begin"/>
          </w:r>
          <w:r>
            <w:instrText xml:space="preserve"> PAGEREF _Toc188966803 \h </w:instrText>
          </w:r>
          <w:r>
            <w:fldChar w:fldCharType="separate"/>
          </w:r>
          <w:r>
            <w:t>39</w:t>
          </w:r>
          <w:r>
            <w:fldChar w:fldCharType="end"/>
          </w:r>
          <w:r>
            <w:fldChar w:fldCharType="end"/>
          </w:r>
        </w:p>
        <w:p w14:paraId="370E1398">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"_Toc188966804" </w:instrText>
          </w:r>
          <w:r>
            <w:fldChar w:fldCharType="separate"/>
          </w:r>
          <w:r>
            <w:rPr>
              <w:rStyle w:val="16"/>
              <w:rFonts w:cstheme="minorHAnsi"/>
            </w:rPr>
            <w:t>3.4.</w:t>
          </w:r>
          <w:r>
            <w:rPr>
              <w:rFonts w:asciiTheme="minorHAnsi" w:hAnsiTheme="minorHAnsi" w:eastAsiaTheme="minorEastAsia" w:cstheme="minorBidi"/>
              <w:lang w:eastAsia="es-CO"/>
            </w:rPr>
            <w:tab/>
          </w:r>
          <w:r>
            <w:rPr>
              <w:rStyle w:val="16"/>
              <w:rFonts w:cstheme="minorHAnsi"/>
            </w:rPr>
            <w:t>PLAN DE PREPARACIÓN Y RESPUESTA ANTE EMERGENCIAS VIALES</w:t>
          </w:r>
          <w:r>
            <w:tab/>
          </w:r>
          <w:r>
            <w:fldChar w:fldCharType="begin"/>
          </w:r>
          <w:r>
            <w:instrText xml:space="preserve"> PAGEREF _Toc188966804 \h </w:instrText>
          </w:r>
          <w:r>
            <w:fldChar w:fldCharType="separate"/>
          </w:r>
          <w:r>
            <w:t>40</w:t>
          </w:r>
          <w:r>
            <w:fldChar w:fldCharType="end"/>
          </w:r>
          <w:r>
            <w:fldChar w:fldCharType="end"/>
          </w:r>
        </w:p>
        <w:p w14:paraId="321290E7">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"_Toc188966805" </w:instrText>
          </w:r>
          <w:r>
            <w:fldChar w:fldCharType="separate"/>
          </w:r>
          <w:r>
            <w:rPr>
              <w:rStyle w:val="16"/>
              <w:rFonts w:cstheme="minorHAnsi"/>
            </w:rPr>
            <w:t>3.5.</w:t>
          </w:r>
          <w:r>
            <w:rPr>
              <w:rFonts w:asciiTheme="minorHAnsi" w:hAnsiTheme="minorHAnsi" w:eastAsiaTheme="minorEastAsia" w:cstheme="minorBidi"/>
              <w:lang w:eastAsia="es-CO"/>
            </w:rPr>
            <w:tab/>
          </w:r>
          <w:r>
            <w:rPr>
              <w:rStyle w:val="16"/>
              <w:rFonts w:cstheme="minorHAnsi"/>
            </w:rPr>
            <w:t>INVESTIGACIÓN INTERNA DE SINIESTROS VIALES</w:t>
          </w:r>
          <w:r>
            <w:tab/>
          </w:r>
          <w:r>
            <w:fldChar w:fldCharType="begin"/>
          </w:r>
          <w:r>
            <w:instrText xml:space="preserve"> PAGEREF _Toc188966805 \h </w:instrText>
          </w:r>
          <w:r>
            <w:fldChar w:fldCharType="separate"/>
          </w:r>
          <w:r>
            <w:t>40</w:t>
          </w:r>
          <w:r>
            <w:fldChar w:fldCharType="end"/>
          </w:r>
          <w:r>
            <w:fldChar w:fldCharType="end"/>
          </w:r>
        </w:p>
        <w:p w14:paraId="0D4DA9DD">
          <w:pPr>
            <w:pStyle w:val="19"/>
            <w:tabs>
              <w:tab w:val="left" w:pos="1320"/>
              <w:tab w:val="right" w:leader="dot" w:pos="8828"/>
            </w:tabs>
            <w:rPr>
              <w:rFonts w:asciiTheme="minorHAnsi" w:hAnsiTheme="minorHAnsi" w:eastAsiaTheme="minorEastAsia" w:cstheme="minorBidi"/>
              <w:lang w:eastAsia="es-CO"/>
            </w:rPr>
          </w:pPr>
          <w:r>
            <w:fldChar w:fldCharType="begin"/>
          </w:r>
          <w:r>
            <w:instrText xml:space="preserve"> HYPERLINK \l "_Toc188966806" </w:instrText>
          </w:r>
          <w:r>
            <w:fldChar w:fldCharType="separate"/>
          </w:r>
          <w:r>
            <w:rPr>
              <w:rStyle w:val="16"/>
              <w:rFonts w:cstheme="minorHAnsi"/>
            </w:rPr>
            <w:t>3.5.1.</w:t>
          </w:r>
          <w:r>
            <w:rPr>
              <w:rFonts w:asciiTheme="minorHAnsi" w:hAnsiTheme="minorHAnsi" w:eastAsiaTheme="minorEastAsia" w:cstheme="minorBidi"/>
              <w:lang w:eastAsia="es-CO"/>
            </w:rPr>
            <w:tab/>
          </w:r>
          <w:r>
            <w:rPr>
              <w:rStyle w:val="16"/>
              <w:rFonts w:cstheme="minorHAnsi"/>
            </w:rPr>
            <w:t>Lecciones aprendidas</w:t>
          </w:r>
          <w:r>
            <w:tab/>
          </w:r>
          <w:r>
            <w:fldChar w:fldCharType="begin"/>
          </w:r>
          <w:r>
            <w:instrText xml:space="preserve"> PAGEREF _Toc188966806 \h </w:instrText>
          </w:r>
          <w:r>
            <w:fldChar w:fldCharType="separate"/>
          </w:r>
          <w:r>
            <w:t>40</w:t>
          </w:r>
          <w:r>
            <w:fldChar w:fldCharType="end"/>
          </w:r>
          <w:r>
            <w:fldChar w:fldCharType="end"/>
          </w:r>
        </w:p>
        <w:p w14:paraId="777A42BF">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"_Toc188966807" </w:instrText>
          </w:r>
          <w:r>
            <w:fldChar w:fldCharType="separate"/>
          </w:r>
          <w:r>
            <w:rPr>
              <w:rStyle w:val="16"/>
              <w:rFonts w:cstheme="minorHAnsi"/>
            </w:rPr>
            <w:t>3.6.</w:t>
          </w:r>
          <w:r>
            <w:rPr>
              <w:rFonts w:asciiTheme="minorHAnsi" w:hAnsiTheme="minorHAnsi" w:eastAsiaTheme="minorEastAsia" w:cstheme="minorBidi"/>
              <w:lang w:eastAsia="es-CO"/>
            </w:rPr>
            <w:tab/>
          </w:r>
          <w:r>
            <w:rPr>
              <w:rStyle w:val="16"/>
              <w:rFonts w:cstheme="minorHAnsi"/>
            </w:rPr>
            <w:t>VIAS SEGURAS ADMINISTRADAS POR LA ORGANIZACIÓN</w:t>
          </w:r>
          <w:r>
            <w:tab/>
          </w:r>
          <w:r>
            <w:fldChar w:fldCharType="begin"/>
          </w:r>
          <w:r>
            <w:instrText xml:space="preserve"> PAGEREF _Toc188966807 \h </w:instrText>
          </w:r>
          <w:r>
            <w:fldChar w:fldCharType="separate"/>
          </w:r>
          <w:r>
            <w:t>40</w:t>
          </w:r>
          <w:r>
            <w:fldChar w:fldCharType="end"/>
          </w:r>
          <w:r>
            <w:fldChar w:fldCharType="end"/>
          </w:r>
        </w:p>
        <w:p w14:paraId="285F93D2">
          <w:pPr>
            <w:pStyle w:val="19"/>
            <w:tabs>
              <w:tab w:val="left" w:pos="1320"/>
              <w:tab w:val="right" w:leader="dot" w:pos="8828"/>
            </w:tabs>
            <w:rPr>
              <w:rFonts w:asciiTheme="minorHAnsi" w:hAnsiTheme="minorHAnsi" w:eastAsiaTheme="minorEastAsia" w:cstheme="minorBidi"/>
              <w:lang w:eastAsia="es-CO"/>
            </w:rPr>
          </w:pPr>
          <w:r>
            <w:fldChar w:fldCharType="begin"/>
          </w:r>
          <w:r>
            <w:instrText xml:space="preserve"> HYPERLINK \l "_Toc188966808" </w:instrText>
          </w:r>
          <w:r>
            <w:fldChar w:fldCharType="separate"/>
          </w:r>
          <w:r>
            <w:rPr>
              <w:rStyle w:val="16"/>
              <w:rFonts w:cstheme="minorHAnsi"/>
            </w:rPr>
            <w:t>3.5.2.</w:t>
          </w:r>
          <w:r>
            <w:rPr>
              <w:rFonts w:asciiTheme="minorHAnsi" w:hAnsiTheme="minorHAnsi" w:eastAsiaTheme="minorEastAsia" w:cstheme="minorBidi"/>
              <w:lang w:eastAsia="es-CO"/>
            </w:rPr>
            <w:tab/>
          </w:r>
          <w:r>
            <w:rPr>
              <w:rStyle w:val="16"/>
              <w:rFonts w:cstheme="minorHAnsi"/>
            </w:rPr>
            <w:t>INFRAESTRUCTURA SEGURA.</w:t>
          </w:r>
          <w:r>
            <w:tab/>
          </w:r>
          <w:r>
            <w:fldChar w:fldCharType="begin"/>
          </w:r>
          <w:r>
            <w:instrText xml:space="preserve"> PAGEREF _Toc188966808 \h </w:instrText>
          </w:r>
          <w:r>
            <w:fldChar w:fldCharType="separate"/>
          </w:r>
          <w:r>
            <w:t>41</w:t>
          </w:r>
          <w:r>
            <w:fldChar w:fldCharType="end"/>
          </w:r>
          <w:r>
            <w:fldChar w:fldCharType="end"/>
          </w:r>
        </w:p>
        <w:p w14:paraId="75B6B1A2">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"_Toc188966809" </w:instrText>
          </w:r>
          <w:r>
            <w:fldChar w:fldCharType="separate"/>
          </w:r>
          <w:r>
            <w:rPr>
              <w:rStyle w:val="16"/>
              <w:rFonts w:cstheme="minorHAnsi"/>
            </w:rPr>
            <w:t>3.7.</w:t>
          </w:r>
          <w:r>
            <w:rPr>
              <w:rFonts w:asciiTheme="minorHAnsi" w:hAnsiTheme="minorHAnsi" w:eastAsiaTheme="minorEastAsia" w:cstheme="minorBidi"/>
              <w:lang w:eastAsia="es-CO"/>
            </w:rPr>
            <w:tab/>
          </w:r>
          <w:r>
            <w:rPr>
              <w:rStyle w:val="16"/>
              <w:rFonts w:cstheme="minorHAnsi"/>
            </w:rPr>
            <w:t>PLANIFICACIÓN DE DESPLAZAMIENTOS</w:t>
          </w:r>
          <w:r>
            <w:tab/>
          </w:r>
          <w:r>
            <w:fldChar w:fldCharType="begin"/>
          </w:r>
          <w:r>
            <w:instrText xml:space="preserve"> PAGEREF _Toc188966809 \h </w:instrText>
          </w:r>
          <w:r>
            <w:fldChar w:fldCharType="separate"/>
          </w:r>
          <w:r>
            <w:t>43</w:t>
          </w:r>
          <w:r>
            <w:fldChar w:fldCharType="end"/>
          </w:r>
          <w:r>
            <w:fldChar w:fldCharType="end"/>
          </w:r>
        </w:p>
        <w:p w14:paraId="7CC98597">
          <w:pPr>
            <w:pStyle w:val="19"/>
            <w:tabs>
              <w:tab w:val="left" w:pos="1320"/>
              <w:tab w:val="right" w:leader="dot" w:pos="8828"/>
            </w:tabs>
            <w:rPr>
              <w:rFonts w:asciiTheme="minorHAnsi" w:hAnsiTheme="minorHAnsi" w:eastAsiaTheme="minorEastAsia" w:cstheme="minorBidi"/>
              <w:lang w:eastAsia="es-CO"/>
            </w:rPr>
          </w:pPr>
          <w:r>
            <w:fldChar w:fldCharType="begin"/>
          </w:r>
          <w:r>
            <w:instrText xml:space="preserve"> HYPERLINK \l "_Toc188966810" </w:instrText>
          </w:r>
          <w:r>
            <w:fldChar w:fldCharType="separate"/>
          </w:r>
          <w:r>
            <w:rPr>
              <w:rStyle w:val="16"/>
              <w:rFonts w:cstheme="minorHAnsi"/>
            </w:rPr>
            <w:t>3.7.1.</w:t>
          </w:r>
          <w:r>
            <w:rPr>
              <w:rFonts w:asciiTheme="minorHAnsi" w:hAnsiTheme="minorHAnsi" w:eastAsiaTheme="minorEastAsia" w:cstheme="minorBidi"/>
              <w:lang w:eastAsia="es-CO"/>
            </w:rPr>
            <w:tab/>
          </w:r>
          <w:r>
            <w:rPr>
              <w:rStyle w:val="16"/>
              <w:rFonts w:cstheme="minorHAnsi"/>
            </w:rPr>
            <w:t>POLÍTICAS DE SOCIALIZACIÓN Y ACTUALIZACIÓN DE INFORMACIÓN</w:t>
          </w:r>
          <w:r>
            <w:tab/>
          </w:r>
          <w:r>
            <w:fldChar w:fldCharType="begin"/>
          </w:r>
          <w:r>
            <w:instrText xml:space="preserve"> PAGEREF _Toc188966810 \h </w:instrText>
          </w:r>
          <w:r>
            <w:fldChar w:fldCharType="separate"/>
          </w:r>
          <w:r>
            <w:t>43</w:t>
          </w:r>
          <w:r>
            <w:fldChar w:fldCharType="end"/>
          </w:r>
          <w:r>
            <w:fldChar w:fldCharType="end"/>
          </w:r>
        </w:p>
        <w:p w14:paraId="5A16E7DE">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"_Toc188966811" </w:instrText>
          </w:r>
          <w:r>
            <w:fldChar w:fldCharType="separate"/>
          </w:r>
          <w:r>
            <w:rPr>
              <w:rStyle w:val="16"/>
              <w:rFonts w:cstheme="minorHAnsi"/>
            </w:rPr>
            <w:t>3.8.</w:t>
          </w:r>
          <w:r>
            <w:rPr>
              <w:rFonts w:asciiTheme="minorHAnsi" w:hAnsiTheme="minorHAnsi" w:eastAsiaTheme="minorEastAsia" w:cstheme="minorBidi"/>
              <w:lang w:eastAsia="es-CO"/>
            </w:rPr>
            <w:tab/>
          </w:r>
          <w:r>
            <w:rPr>
              <w:rStyle w:val="16"/>
              <w:rFonts w:cstheme="minorHAnsi"/>
            </w:rPr>
            <w:t>INSPECCIÓN DE VEHÍCULOS Y EQUIPOS</w:t>
          </w:r>
          <w:r>
            <w:tab/>
          </w:r>
          <w:r>
            <w:fldChar w:fldCharType="begin"/>
          </w:r>
          <w:r>
            <w:instrText xml:space="preserve"> PAGEREF _Toc188966811 \h </w:instrText>
          </w:r>
          <w:r>
            <w:fldChar w:fldCharType="separate"/>
          </w:r>
          <w:r>
            <w:t>43</w:t>
          </w:r>
          <w:r>
            <w:fldChar w:fldCharType="end"/>
          </w:r>
          <w:r>
            <w:fldChar w:fldCharType="end"/>
          </w:r>
        </w:p>
        <w:p w14:paraId="3BCA0CC9">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"_Toc188966812" </w:instrText>
          </w:r>
          <w:r>
            <w:fldChar w:fldCharType="separate"/>
          </w:r>
          <w:r>
            <w:rPr>
              <w:rStyle w:val="16"/>
              <w:rFonts w:cstheme="minorHAnsi"/>
            </w:rPr>
            <w:t>3.9.</w:t>
          </w:r>
          <w:r>
            <w:rPr>
              <w:rFonts w:asciiTheme="minorHAnsi" w:hAnsiTheme="minorHAnsi" w:eastAsiaTheme="minorEastAsia" w:cstheme="minorBidi"/>
              <w:lang w:eastAsia="es-CO"/>
            </w:rPr>
            <w:tab/>
          </w:r>
          <w:r>
            <w:rPr>
              <w:rStyle w:val="16"/>
              <w:rFonts w:cstheme="minorHAnsi"/>
            </w:rPr>
            <w:t>MANTENIMIENTO Y CONTROL DE VEHÍCULOS SEGUROS Y EQUIPOS</w:t>
          </w:r>
          <w:r>
            <w:tab/>
          </w:r>
          <w:r>
            <w:fldChar w:fldCharType="begin"/>
          </w:r>
          <w:r>
            <w:instrText xml:space="preserve"> PAGEREF _Toc188966812 \h </w:instrText>
          </w:r>
          <w:r>
            <w:fldChar w:fldCharType="separate"/>
          </w:r>
          <w:r>
            <w:t>44</w:t>
          </w:r>
          <w:r>
            <w:fldChar w:fldCharType="end"/>
          </w:r>
          <w:r>
            <w:fldChar w:fldCharType="end"/>
          </w:r>
        </w:p>
        <w:p w14:paraId="51594C64">
          <w:pPr>
            <w:pStyle w:val="19"/>
            <w:tabs>
              <w:tab w:val="left" w:pos="1320"/>
              <w:tab w:val="right" w:leader="dot" w:pos="8828"/>
            </w:tabs>
            <w:rPr>
              <w:rFonts w:asciiTheme="minorHAnsi" w:hAnsiTheme="minorHAnsi" w:eastAsiaTheme="minorEastAsia" w:cstheme="minorBidi"/>
              <w:lang w:eastAsia="es-CO"/>
            </w:rPr>
          </w:pPr>
          <w:r>
            <w:fldChar w:fldCharType="begin"/>
          </w:r>
          <w:r>
            <w:instrText xml:space="preserve"> HYPERLINK \l "_Toc188966813" </w:instrText>
          </w:r>
          <w:r>
            <w:fldChar w:fldCharType="separate"/>
          </w:r>
          <w:r>
            <w:rPr>
              <w:rStyle w:val="16"/>
              <w:rFonts w:cstheme="minorHAnsi"/>
            </w:rPr>
            <w:t>3.9.1.</w:t>
          </w:r>
          <w:r>
            <w:rPr>
              <w:rFonts w:asciiTheme="minorHAnsi" w:hAnsiTheme="minorHAnsi" w:eastAsiaTheme="minorEastAsia" w:cstheme="minorBidi"/>
              <w:lang w:eastAsia="es-CO"/>
            </w:rPr>
            <w:tab/>
          </w:r>
          <w:r>
            <w:rPr>
              <w:rStyle w:val="16"/>
              <w:rFonts w:cstheme="minorHAnsi"/>
            </w:rPr>
            <w:t>PROCEDIMIENTOS PARA USO DE VEHÍCULOS SENA</w:t>
          </w:r>
          <w:r>
            <w:tab/>
          </w:r>
          <w:r>
            <w:fldChar w:fldCharType="begin"/>
          </w:r>
          <w:r>
            <w:instrText xml:space="preserve"> PAGEREF _Toc188966813 \h </w:instrText>
          </w:r>
          <w:r>
            <w:fldChar w:fldCharType="separate"/>
          </w:r>
          <w:r>
            <w:t>44</w:t>
          </w:r>
          <w:r>
            <w:fldChar w:fldCharType="end"/>
          </w:r>
          <w:r>
            <w:fldChar w:fldCharType="end"/>
          </w:r>
        </w:p>
        <w:p w14:paraId="69D47C35">
          <w:pPr>
            <w:pStyle w:val="19"/>
            <w:tabs>
              <w:tab w:val="left" w:pos="1540"/>
              <w:tab w:val="right" w:leader="dot" w:pos="8828"/>
            </w:tabs>
            <w:rPr>
              <w:rFonts w:asciiTheme="minorHAnsi" w:hAnsiTheme="minorHAnsi" w:eastAsiaTheme="minorEastAsia" w:cstheme="minorBidi"/>
              <w:lang w:eastAsia="es-CO"/>
            </w:rPr>
          </w:pPr>
          <w:r>
            <w:fldChar w:fldCharType="begin"/>
          </w:r>
          <w:r>
            <w:instrText xml:space="preserve"> HYPERLINK \l "_Toc188966814" </w:instrText>
          </w:r>
          <w:r>
            <w:fldChar w:fldCharType="separate"/>
          </w:r>
          <w:r>
            <w:rPr>
              <w:rStyle w:val="16"/>
              <w:rFonts w:cstheme="minorHAnsi"/>
            </w:rPr>
            <w:t>3.9.1.1.</w:t>
          </w:r>
          <w:r>
            <w:rPr>
              <w:rFonts w:asciiTheme="minorHAnsi" w:hAnsiTheme="minorHAnsi" w:eastAsiaTheme="minorEastAsia" w:cstheme="minorBidi"/>
              <w:lang w:eastAsia="es-CO"/>
            </w:rPr>
            <w:tab/>
          </w:r>
          <w:r>
            <w:rPr>
              <w:rStyle w:val="16"/>
              <w:rFonts w:cstheme="minorHAnsi"/>
            </w:rPr>
            <w:t>MANTENIMIENTO</w:t>
          </w:r>
          <w:r>
            <w:tab/>
          </w:r>
          <w:r>
            <w:fldChar w:fldCharType="begin"/>
          </w:r>
          <w:r>
            <w:instrText xml:space="preserve"> PAGEREF _Toc188966814 \h </w:instrText>
          </w:r>
          <w:r>
            <w:fldChar w:fldCharType="separate"/>
          </w:r>
          <w:r>
            <w:t>45</w:t>
          </w:r>
          <w:r>
            <w:fldChar w:fldCharType="end"/>
          </w:r>
          <w:r>
            <w:fldChar w:fldCharType="end"/>
          </w:r>
        </w:p>
        <w:p w14:paraId="17ADDBF7">
          <w:pPr>
            <w:pStyle w:val="19"/>
            <w:tabs>
              <w:tab w:val="left" w:pos="1540"/>
              <w:tab w:val="right" w:leader="dot" w:pos="8828"/>
            </w:tabs>
            <w:rPr>
              <w:rFonts w:asciiTheme="minorHAnsi" w:hAnsiTheme="minorHAnsi" w:eastAsiaTheme="minorEastAsia" w:cstheme="minorBidi"/>
              <w:lang w:eastAsia="es-CO"/>
            </w:rPr>
          </w:pPr>
          <w:r>
            <w:fldChar w:fldCharType="begin"/>
          </w:r>
          <w:r>
            <w:instrText xml:space="preserve"> HYPERLINK \l "_Toc188966815" </w:instrText>
          </w:r>
          <w:r>
            <w:fldChar w:fldCharType="separate"/>
          </w:r>
          <w:r>
            <w:rPr>
              <w:rStyle w:val="16"/>
              <w:rFonts w:cstheme="minorHAnsi"/>
            </w:rPr>
            <w:t>3.9.1.2.</w:t>
          </w:r>
          <w:r>
            <w:rPr>
              <w:rFonts w:asciiTheme="minorHAnsi" w:hAnsiTheme="minorHAnsi" w:eastAsiaTheme="minorEastAsia" w:cstheme="minorBidi"/>
              <w:lang w:eastAsia="es-CO"/>
            </w:rPr>
            <w:tab/>
          </w:r>
          <w:r>
            <w:rPr>
              <w:rStyle w:val="16"/>
              <w:rFonts w:cstheme="minorHAnsi"/>
            </w:rPr>
            <w:t>Inventario</w:t>
          </w:r>
          <w:r>
            <w:tab/>
          </w:r>
          <w:r>
            <w:fldChar w:fldCharType="begin"/>
          </w:r>
          <w:r>
            <w:instrText xml:space="preserve"> PAGEREF _Toc188966815 \h </w:instrText>
          </w:r>
          <w:r>
            <w:fldChar w:fldCharType="separate"/>
          </w:r>
          <w:r>
            <w:t>45</w:t>
          </w:r>
          <w:r>
            <w:fldChar w:fldCharType="end"/>
          </w:r>
          <w:r>
            <w:fldChar w:fldCharType="end"/>
          </w:r>
        </w:p>
        <w:p w14:paraId="03DC5CFD">
          <w:pPr>
            <w:pStyle w:val="19"/>
            <w:tabs>
              <w:tab w:val="left" w:pos="1540"/>
              <w:tab w:val="right" w:leader="dot" w:pos="8828"/>
            </w:tabs>
            <w:rPr>
              <w:rFonts w:asciiTheme="minorHAnsi" w:hAnsiTheme="minorHAnsi" w:eastAsiaTheme="minorEastAsia" w:cstheme="minorBidi"/>
              <w:lang w:eastAsia="es-CO"/>
            </w:rPr>
          </w:pPr>
          <w:r>
            <w:fldChar w:fldCharType="begin"/>
          </w:r>
          <w:r>
            <w:instrText xml:space="preserve"> HYPERLINK \l "_Toc188966816" </w:instrText>
          </w:r>
          <w:r>
            <w:fldChar w:fldCharType="separate"/>
          </w:r>
          <w:r>
            <w:rPr>
              <w:rStyle w:val="16"/>
              <w:rFonts w:cstheme="minorHAnsi"/>
            </w:rPr>
            <w:t>3.9.1.3.</w:t>
          </w:r>
          <w:r>
            <w:rPr>
              <w:rFonts w:asciiTheme="minorHAnsi" w:hAnsiTheme="minorHAnsi" w:eastAsiaTheme="minorEastAsia" w:cstheme="minorBidi"/>
              <w:lang w:eastAsia="es-CO"/>
            </w:rPr>
            <w:tab/>
          </w:r>
          <w:r>
            <w:rPr>
              <w:rStyle w:val="16"/>
              <w:rFonts w:cstheme="minorHAnsi"/>
            </w:rPr>
            <w:t>Hoja de vida</w:t>
          </w:r>
          <w:r>
            <w:tab/>
          </w:r>
          <w:r>
            <w:fldChar w:fldCharType="begin"/>
          </w:r>
          <w:r>
            <w:instrText xml:space="preserve"> PAGEREF _Toc188966816 \h </w:instrText>
          </w:r>
          <w:r>
            <w:fldChar w:fldCharType="separate"/>
          </w:r>
          <w:r>
            <w:t>46</w:t>
          </w:r>
          <w:r>
            <w:fldChar w:fldCharType="end"/>
          </w:r>
          <w:r>
            <w:fldChar w:fldCharType="end"/>
          </w:r>
        </w:p>
        <w:p w14:paraId="37E8099D">
          <w:pPr>
            <w:pStyle w:val="19"/>
            <w:tabs>
              <w:tab w:val="left" w:pos="1540"/>
              <w:tab w:val="right" w:leader="dot" w:pos="8828"/>
            </w:tabs>
            <w:rPr>
              <w:rFonts w:asciiTheme="minorHAnsi" w:hAnsiTheme="minorHAnsi" w:eastAsiaTheme="minorEastAsia" w:cstheme="minorBidi"/>
              <w:lang w:eastAsia="es-CO"/>
            </w:rPr>
          </w:pPr>
          <w:r>
            <w:fldChar w:fldCharType="begin"/>
          </w:r>
          <w:r>
            <w:instrText xml:space="preserve"> HYPERLINK \l "_Toc188966817" </w:instrText>
          </w:r>
          <w:r>
            <w:fldChar w:fldCharType="separate"/>
          </w:r>
          <w:r>
            <w:rPr>
              <w:rStyle w:val="16"/>
              <w:rFonts w:cstheme="minorHAnsi"/>
            </w:rPr>
            <w:t>3.9.1.4.</w:t>
          </w:r>
          <w:r>
            <w:rPr>
              <w:rFonts w:asciiTheme="minorHAnsi" w:hAnsiTheme="minorHAnsi" w:eastAsiaTheme="minorEastAsia" w:cstheme="minorBidi"/>
              <w:lang w:eastAsia="es-CO"/>
            </w:rPr>
            <w:tab/>
          </w:r>
          <w:r>
            <w:rPr>
              <w:rStyle w:val="16"/>
              <w:rFonts w:cstheme="minorHAnsi"/>
            </w:rPr>
            <w:t>Mantenimientos preventivos y correctivos</w:t>
          </w:r>
          <w:r>
            <w:tab/>
          </w:r>
          <w:r>
            <w:fldChar w:fldCharType="begin"/>
          </w:r>
          <w:r>
            <w:instrText xml:space="preserve"> PAGEREF _Toc188966817 \h </w:instrText>
          </w:r>
          <w:r>
            <w:fldChar w:fldCharType="separate"/>
          </w:r>
          <w:r>
            <w:t>46</w:t>
          </w:r>
          <w:r>
            <w:fldChar w:fldCharType="end"/>
          </w:r>
          <w:r>
            <w:fldChar w:fldCharType="end"/>
          </w:r>
        </w:p>
        <w:p w14:paraId="5BC58C3F">
          <w:pPr>
            <w:pStyle w:val="19"/>
            <w:tabs>
              <w:tab w:val="left" w:pos="1540"/>
              <w:tab w:val="right" w:leader="dot" w:pos="8828"/>
            </w:tabs>
            <w:rPr>
              <w:rFonts w:asciiTheme="minorHAnsi" w:hAnsiTheme="minorHAnsi" w:eastAsiaTheme="minorEastAsia" w:cstheme="minorBidi"/>
              <w:lang w:eastAsia="es-CO"/>
            </w:rPr>
          </w:pPr>
          <w:r>
            <w:fldChar w:fldCharType="begin"/>
          </w:r>
          <w:r>
            <w:instrText xml:space="preserve"> HYPERLINK \l "_Toc188966818" </w:instrText>
          </w:r>
          <w:r>
            <w:fldChar w:fldCharType="separate"/>
          </w:r>
          <w:r>
            <w:rPr>
              <w:rStyle w:val="16"/>
              <w:rFonts w:cstheme="minorHAnsi"/>
            </w:rPr>
            <w:t>3.9.1.5.</w:t>
          </w:r>
          <w:r>
            <w:rPr>
              <w:rFonts w:asciiTheme="minorHAnsi" w:hAnsiTheme="minorHAnsi" w:eastAsiaTheme="minorEastAsia" w:cstheme="minorBidi"/>
              <w:lang w:eastAsia="es-CO"/>
            </w:rPr>
            <w:tab/>
          </w:r>
          <w:r>
            <w:rPr>
              <w:rStyle w:val="16"/>
              <w:rFonts w:cstheme="minorHAnsi"/>
            </w:rPr>
            <w:t>Mantenimiento Preventivo</w:t>
          </w:r>
          <w:r>
            <w:tab/>
          </w:r>
          <w:r>
            <w:fldChar w:fldCharType="begin"/>
          </w:r>
          <w:r>
            <w:instrText xml:space="preserve"> PAGEREF _Toc188966818 \h </w:instrText>
          </w:r>
          <w:r>
            <w:fldChar w:fldCharType="separate"/>
          </w:r>
          <w:r>
            <w:t>47</w:t>
          </w:r>
          <w:r>
            <w:fldChar w:fldCharType="end"/>
          </w:r>
          <w:r>
            <w:fldChar w:fldCharType="end"/>
          </w:r>
        </w:p>
        <w:p w14:paraId="44A24047">
          <w:pPr>
            <w:pStyle w:val="19"/>
            <w:tabs>
              <w:tab w:val="left" w:pos="1540"/>
              <w:tab w:val="right" w:leader="dot" w:pos="8828"/>
            </w:tabs>
            <w:rPr>
              <w:rFonts w:asciiTheme="minorHAnsi" w:hAnsiTheme="minorHAnsi" w:eastAsiaTheme="minorEastAsia" w:cstheme="minorBidi"/>
              <w:lang w:eastAsia="es-CO"/>
            </w:rPr>
          </w:pPr>
          <w:r>
            <w:fldChar w:fldCharType="begin"/>
          </w:r>
          <w:r>
            <w:instrText xml:space="preserve"> HYPERLINK \l "_Toc188966819" </w:instrText>
          </w:r>
          <w:r>
            <w:fldChar w:fldCharType="separate"/>
          </w:r>
          <w:r>
            <w:rPr>
              <w:rStyle w:val="16"/>
              <w:rFonts w:cstheme="minorHAnsi"/>
            </w:rPr>
            <w:t>3.9.1.6.</w:t>
          </w:r>
          <w:r>
            <w:rPr>
              <w:rFonts w:asciiTheme="minorHAnsi" w:hAnsiTheme="minorHAnsi" w:eastAsiaTheme="minorEastAsia" w:cstheme="minorBidi"/>
              <w:lang w:eastAsia="es-CO"/>
            </w:rPr>
            <w:tab/>
          </w:r>
          <w:r>
            <w:rPr>
              <w:rStyle w:val="16"/>
              <w:rFonts w:cstheme="minorHAnsi"/>
            </w:rPr>
            <w:t>Mantenimiento Correctivo</w:t>
          </w:r>
          <w:r>
            <w:tab/>
          </w:r>
          <w:r>
            <w:fldChar w:fldCharType="begin"/>
          </w:r>
          <w:r>
            <w:instrText xml:space="preserve"> PAGEREF _Toc188966819 \h </w:instrText>
          </w:r>
          <w:r>
            <w:fldChar w:fldCharType="separate"/>
          </w:r>
          <w:r>
            <w:t>47</w:t>
          </w:r>
          <w:r>
            <w:fldChar w:fldCharType="end"/>
          </w:r>
          <w:r>
            <w:fldChar w:fldCharType="end"/>
          </w:r>
        </w:p>
        <w:p w14:paraId="1F88B325">
          <w:pPr>
            <w:pStyle w:val="19"/>
            <w:tabs>
              <w:tab w:val="left" w:pos="1540"/>
              <w:tab w:val="right" w:leader="dot" w:pos="8828"/>
            </w:tabs>
            <w:rPr>
              <w:rFonts w:asciiTheme="minorHAnsi" w:hAnsiTheme="minorHAnsi" w:eastAsiaTheme="minorEastAsia" w:cstheme="minorBidi"/>
              <w:lang w:eastAsia="es-CO"/>
            </w:rPr>
          </w:pPr>
          <w:r>
            <w:fldChar w:fldCharType="begin"/>
          </w:r>
          <w:r>
            <w:instrText xml:space="preserve"> HYPERLINK \l "_Toc188966820" </w:instrText>
          </w:r>
          <w:r>
            <w:fldChar w:fldCharType="separate"/>
          </w:r>
          <w:r>
            <w:rPr>
              <w:rStyle w:val="16"/>
              <w:rFonts w:cstheme="minorHAnsi"/>
            </w:rPr>
            <w:t>3.9.1.7.</w:t>
          </w:r>
          <w:r>
            <w:rPr>
              <w:rFonts w:asciiTheme="minorHAnsi" w:hAnsiTheme="minorHAnsi" w:eastAsiaTheme="minorEastAsia" w:cstheme="minorBidi"/>
              <w:lang w:eastAsia="es-CO"/>
            </w:rPr>
            <w:tab/>
          </w:r>
          <w:r>
            <w:rPr>
              <w:rStyle w:val="16"/>
              <w:rFonts w:cstheme="minorHAnsi"/>
            </w:rPr>
            <w:t>Registro de los mantenimientos</w:t>
          </w:r>
          <w:r>
            <w:tab/>
          </w:r>
          <w:r>
            <w:fldChar w:fldCharType="begin"/>
          </w:r>
          <w:r>
            <w:instrText xml:space="preserve"> PAGEREF _Toc188966820 \h </w:instrText>
          </w:r>
          <w:r>
            <w:fldChar w:fldCharType="separate"/>
          </w:r>
          <w:r>
            <w:t>47</w:t>
          </w:r>
          <w:r>
            <w:fldChar w:fldCharType="end"/>
          </w:r>
          <w:r>
            <w:fldChar w:fldCharType="end"/>
          </w:r>
        </w:p>
        <w:p w14:paraId="5A4D53A1">
          <w:pPr>
            <w:pStyle w:val="19"/>
            <w:tabs>
              <w:tab w:val="left" w:pos="1540"/>
              <w:tab w:val="right" w:leader="dot" w:pos="8828"/>
            </w:tabs>
            <w:rPr>
              <w:rFonts w:asciiTheme="minorHAnsi" w:hAnsiTheme="minorHAnsi" w:eastAsiaTheme="minorEastAsia" w:cstheme="minorBidi"/>
              <w:lang w:eastAsia="es-CO"/>
            </w:rPr>
          </w:pPr>
          <w:r>
            <w:fldChar w:fldCharType="begin"/>
          </w:r>
          <w:r>
            <w:instrText xml:space="preserve"> HYPERLINK \l "_Toc188966821" </w:instrText>
          </w:r>
          <w:r>
            <w:fldChar w:fldCharType="separate"/>
          </w:r>
          <w:r>
            <w:rPr>
              <w:rStyle w:val="16"/>
              <w:rFonts w:cstheme="minorHAnsi"/>
            </w:rPr>
            <w:t>3.9.1.8.</w:t>
          </w:r>
          <w:r>
            <w:rPr>
              <w:rFonts w:asciiTheme="minorHAnsi" w:hAnsiTheme="minorHAnsi" w:eastAsiaTheme="minorEastAsia" w:cstheme="minorBidi"/>
              <w:lang w:eastAsia="es-CO"/>
            </w:rPr>
            <w:tab/>
          </w:r>
          <w:r>
            <w:rPr>
              <w:rStyle w:val="16"/>
              <w:rFonts w:cstheme="minorHAnsi"/>
            </w:rPr>
            <w:t>Idoneidad de los talleres</w:t>
          </w:r>
          <w:r>
            <w:tab/>
          </w:r>
          <w:r>
            <w:fldChar w:fldCharType="begin"/>
          </w:r>
          <w:r>
            <w:instrText xml:space="preserve"> PAGEREF _Toc188966821 \h </w:instrText>
          </w:r>
          <w:r>
            <w:fldChar w:fldCharType="separate"/>
          </w:r>
          <w:r>
            <w:t>47</w:t>
          </w:r>
          <w:r>
            <w:fldChar w:fldCharType="end"/>
          </w:r>
          <w:r>
            <w:fldChar w:fldCharType="end"/>
          </w:r>
        </w:p>
        <w:p w14:paraId="638E2260">
          <w:pPr>
            <w:pStyle w:val="19"/>
            <w:tabs>
              <w:tab w:val="left" w:pos="1540"/>
              <w:tab w:val="right" w:leader="dot" w:pos="8828"/>
            </w:tabs>
            <w:rPr>
              <w:rFonts w:asciiTheme="minorHAnsi" w:hAnsiTheme="minorHAnsi" w:eastAsiaTheme="minorEastAsia" w:cstheme="minorBidi"/>
              <w:lang w:eastAsia="es-CO"/>
            </w:rPr>
          </w:pPr>
          <w:r>
            <w:fldChar w:fldCharType="begin"/>
          </w:r>
          <w:r>
            <w:instrText xml:space="preserve"> HYPERLINK \l "_Toc188966822" </w:instrText>
          </w:r>
          <w:r>
            <w:fldChar w:fldCharType="separate"/>
          </w:r>
          <w:r>
            <w:rPr>
              <w:rStyle w:val="16"/>
              <w:rFonts w:cstheme="minorHAnsi"/>
            </w:rPr>
            <w:t>3.9.1.9.</w:t>
          </w:r>
          <w:r>
            <w:rPr>
              <w:rFonts w:asciiTheme="minorHAnsi" w:hAnsiTheme="minorHAnsi" w:eastAsiaTheme="minorEastAsia" w:cstheme="minorBidi"/>
              <w:lang w:eastAsia="es-CO"/>
            </w:rPr>
            <w:tab/>
          </w:r>
          <w:r>
            <w:rPr>
              <w:rStyle w:val="16"/>
              <w:rFonts w:cstheme="minorHAnsi"/>
            </w:rPr>
            <w:t>Control de documentación de vehículos</w:t>
          </w:r>
          <w:r>
            <w:tab/>
          </w:r>
          <w:r>
            <w:fldChar w:fldCharType="begin"/>
          </w:r>
          <w:r>
            <w:instrText xml:space="preserve"> PAGEREF _Toc188966822 \h </w:instrText>
          </w:r>
          <w:r>
            <w:fldChar w:fldCharType="separate"/>
          </w:r>
          <w:r>
            <w:t>48</w:t>
          </w:r>
          <w:r>
            <w:fldChar w:fldCharType="end"/>
          </w:r>
          <w:r>
            <w:fldChar w:fldCharType="end"/>
          </w:r>
        </w:p>
        <w:p w14:paraId="5EC9A360">
          <w:pPr>
            <w:pStyle w:val="23"/>
            <w:tabs>
              <w:tab w:val="left" w:pos="1100"/>
              <w:tab w:val="right" w:leader="dot" w:pos="8828"/>
            </w:tabs>
            <w:rPr>
              <w:rFonts w:asciiTheme="minorHAnsi" w:hAnsiTheme="minorHAnsi" w:eastAsiaTheme="minorEastAsia" w:cstheme="minorBidi"/>
              <w:lang w:eastAsia="es-CO"/>
            </w:rPr>
          </w:pPr>
          <w:r>
            <w:fldChar w:fldCharType="begin"/>
          </w:r>
          <w:r>
            <w:instrText xml:space="preserve"> HYPERLINK \l "_Toc188966823" </w:instrText>
          </w:r>
          <w:r>
            <w:fldChar w:fldCharType="separate"/>
          </w:r>
          <w:r>
            <w:rPr>
              <w:rStyle w:val="16"/>
              <w:rFonts w:cstheme="minorHAnsi"/>
            </w:rPr>
            <w:t>3.10.</w:t>
          </w:r>
          <w:r>
            <w:rPr>
              <w:rFonts w:asciiTheme="minorHAnsi" w:hAnsiTheme="minorHAnsi" w:eastAsiaTheme="minorEastAsia" w:cstheme="minorBidi"/>
              <w:lang w:eastAsia="es-CO"/>
            </w:rPr>
            <w:tab/>
          </w:r>
          <w:r>
            <w:rPr>
              <w:rStyle w:val="16"/>
              <w:rFonts w:cstheme="minorHAnsi"/>
            </w:rPr>
            <w:t>GESTIÓN DE CAMBIO Y GESTIÓN DE CONTRATISTAS</w:t>
          </w:r>
          <w:r>
            <w:tab/>
          </w:r>
          <w:r>
            <w:fldChar w:fldCharType="begin"/>
          </w:r>
          <w:r>
            <w:instrText xml:space="preserve"> PAGEREF _Toc188966823 \h </w:instrText>
          </w:r>
          <w:r>
            <w:fldChar w:fldCharType="separate"/>
          </w:r>
          <w:r>
            <w:t>48</w:t>
          </w:r>
          <w:r>
            <w:fldChar w:fldCharType="end"/>
          </w:r>
          <w:r>
            <w:fldChar w:fldCharType="end"/>
          </w:r>
        </w:p>
        <w:p w14:paraId="788D864B">
          <w:pPr>
            <w:pStyle w:val="19"/>
            <w:tabs>
              <w:tab w:val="left" w:pos="1320"/>
              <w:tab w:val="right" w:leader="dot" w:pos="8828"/>
            </w:tabs>
            <w:rPr>
              <w:rFonts w:asciiTheme="minorHAnsi" w:hAnsiTheme="minorHAnsi" w:eastAsiaTheme="minorEastAsia" w:cstheme="minorBidi"/>
              <w:lang w:eastAsia="es-CO"/>
            </w:rPr>
          </w:pPr>
          <w:r>
            <w:fldChar w:fldCharType="begin"/>
          </w:r>
          <w:r>
            <w:instrText xml:space="preserve"> HYPERLINK \l "_Toc188966824" </w:instrText>
          </w:r>
          <w:r>
            <w:fldChar w:fldCharType="separate"/>
          </w:r>
          <w:r>
            <w:rPr>
              <w:rStyle w:val="16"/>
              <w:rFonts w:cstheme="minorHAnsi"/>
            </w:rPr>
            <w:t>3.10.1.</w:t>
          </w:r>
          <w:r>
            <w:rPr>
              <w:rFonts w:asciiTheme="minorHAnsi" w:hAnsiTheme="minorHAnsi" w:eastAsiaTheme="minorEastAsia" w:cstheme="minorBidi"/>
              <w:lang w:eastAsia="es-CO"/>
            </w:rPr>
            <w:tab/>
          </w:r>
          <w:r>
            <w:rPr>
              <w:rStyle w:val="16"/>
              <w:rFonts w:cstheme="minorHAnsi"/>
            </w:rPr>
            <w:t>GESTIÓN DE CAMBIO</w:t>
          </w:r>
          <w:r>
            <w:tab/>
          </w:r>
          <w:r>
            <w:fldChar w:fldCharType="begin"/>
          </w:r>
          <w:r>
            <w:instrText xml:space="preserve"> PAGEREF _Toc188966824 \h </w:instrText>
          </w:r>
          <w:r>
            <w:fldChar w:fldCharType="separate"/>
          </w:r>
          <w:r>
            <w:t>48</w:t>
          </w:r>
          <w:r>
            <w:fldChar w:fldCharType="end"/>
          </w:r>
          <w:r>
            <w:fldChar w:fldCharType="end"/>
          </w:r>
        </w:p>
        <w:p w14:paraId="6865E514">
          <w:pPr>
            <w:pStyle w:val="19"/>
            <w:tabs>
              <w:tab w:val="left" w:pos="1320"/>
              <w:tab w:val="right" w:leader="dot" w:pos="8828"/>
            </w:tabs>
            <w:rPr>
              <w:rFonts w:asciiTheme="minorHAnsi" w:hAnsiTheme="minorHAnsi" w:eastAsiaTheme="minorEastAsia" w:cstheme="minorBidi"/>
              <w:lang w:eastAsia="es-CO"/>
            </w:rPr>
          </w:pPr>
          <w:r>
            <w:fldChar w:fldCharType="begin"/>
          </w:r>
          <w:r>
            <w:instrText xml:space="preserve"> HYPERLINK \l "_Toc188966825" </w:instrText>
          </w:r>
          <w:r>
            <w:fldChar w:fldCharType="separate"/>
          </w:r>
          <w:r>
            <w:rPr>
              <w:rStyle w:val="16"/>
              <w:rFonts w:cstheme="minorHAnsi"/>
            </w:rPr>
            <w:t>3.10.2.</w:t>
          </w:r>
          <w:r>
            <w:rPr>
              <w:rFonts w:asciiTheme="minorHAnsi" w:hAnsiTheme="minorHAnsi" w:eastAsiaTheme="minorEastAsia" w:cstheme="minorBidi"/>
              <w:lang w:eastAsia="es-CO"/>
            </w:rPr>
            <w:tab/>
          </w:r>
          <w:r>
            <w:rPr>
              <w:rStyle w:val="16"/>
              <w:rFonts w:cstheme="minorHAnsi"/>
            </w:rPr>
            <w:t>GESTIÓN DE CONTRATISTAS</w:t>
          </w:r>
          <w:r>
            <w:tab/>
          </w:r>
          <w:r>
            <w:fldChar w:fldCharType="begin"/>
          </w:r>
          <w:r>
            <w:instrText xml:space="preserve"> PAGEREF _Toc188966825 \h </w:instrText>
          </w:r>
          <w:r>
            <w:fldChar w:fldCharType="separate"/>
          </w:r>
          <w:r>
            <w:t>49</w:t>
          </w:r>
          <w:r>
            <w:fldChar w:fldCharType="end"/>
          </w:r>
          <w:r>
            <w:fldChar w:fldCharType="end"/>
          </w:r>
        </w:p>
        <w:p w14:paraId="28121798">
          <w:pPr>
            <w:pStyle w:val="23"/>
            <w:tabs>
              <w:tab w:val="left" w:pos="1100"/>
              <w:tab w:val="right" w:leader="dot" w:pos="8828"/>
            </w:tabs>
            <w:rPr>
              <w:rFonts w:asciiTheme="minorHAnsi" w:hAnsiTheme="minorHAnsi" w:eastAsiaTheme="minorEastAsia" w:cstheme="minorBidi"/>
              <w:lang w:eastAsia="es-CO"/>
            </w:rPr>
          </w:pPr>
          <w:r>
            <w:fldChar w:fldCharType="begin"/>
          </w:r>
          <w:r>
            <w:instrText xml:space="preserve"> HYPERLINK \l "_Toc188966826" </w:instrText>
          </w:r>
          <w:r>
            <w:fldChar w:fldCharType="separate"/>
          </w:r>
          <w:r>
            <w:rPr>
              <w:rStyle w:val="16"/>
              <w:rFonts w:cstheme="minorHAnsi"/>
            </w:rPr>
            <w:t>3.11.</w:t>
          </w:r>
          <w:r>
            <w:rPr>
              <w:rFonts w:asciiTheme="minorHAnsi" w:hAnsiTheme="minorHAnsi" w:eastAsiaTheme="minorEastAsia" w:cstheme="minorBidi"/>
              <w:lang w:eastAsia="es-CO"/>
            </w:rPr>
            <w:tab/>
          </w:r>
          <w:r>
            <w:rPr>
              <w:rStyle w:val="16"/>
              <w:rFonts w:cstheme="minorHAnsi"/>
            </w:rPr>
            <w:t>ARCHIVO Y RETENCIÓN DOCUMENTAL</w:t>
          </w:r>
          <w:r>
            <w:tab/>
          </w:r>
          <w:r>
            <w:fldChar w:fldCharType="begin"/>
          </w:r>
          <w:r>
            <w:instrText xml:space="preserve"> PAGEREF _Toc188966826 \h </w:instrText>
          </w:r>
          <w:r>
            <w:fldChar w:fldCharType="separate"/>
          </w:r>
          <w:r>
            <w:t>49</w:t>
          </w:r>
          <w:r>
            <w:fldChar w:fldCharType="end"/>
          </w:r>
          <w:r>
            <w:fldChar w:fldCharType="end"/>
          </w:r>
        </w:p>
        <w:p w14:paraId="591FE833">
          <w:pPr>
            <w:pStyle w:val="22"/>
            <w:rPr>
              <w:rFonts w:asciiTheme="minorHAnsi" w:hAnsiTheme="minorHAnsi" w:eastAsiaTheme="minorEastAsia" w:cstheme="minorBidi"/>
              <w:b w:val="0"/>
              <w:lang w:eastAsia="es-CO"/>
            </w:rPr>
          </w:pPr>
          <w:r>
            <w:fldChar w:fldCharType="begin"/>
          </w:r>
          <w:r>
            <w:instrText xml:space="preserve"> HYPERLINK \l "_Toc188966827" </w:instrText>
          </w:r>
          <w:r>
            <w:fldChar w:fldCharType="separate"/>
          </w:r>
          <w:r>
            <w:rPr>
              <w:rStyle w:val="16"/>
              <w:rFonts w:cstheme="minorHAnsi"/>
            </w:rPr>
            <w:t>4.</w:t>
          </w:r>
          <w:r>
            <w:rPr>
              <w:rFonts w:asciiTheme="minorHAnsi" w:hAnsiTheme="minorHAnsi" w:eastAsiaTheme="minorEastAsia" w:cstheme="minorBidi"/>
              <w:b w:val="0"/>
              <w:lang w:eastAsia="es-CO"/>
            </w:rPr>
            <w:tab/>
          </w:r>
          <w:r>
            <w:rPr>
              <w:rStyle w:val="16"/>
              <w:rFonts w:cstheme="minorHAnsi"/>
            </w:rPr>
            <w:t>SEGUIMIENTO Y EVALUACIÓN DEL PLAN ESTRATEGICO DE SEGURIDAD VIAL</w:t>
          </w:r>
          <w:r>
            <w:tab/>
          </w:r>
          <w:r>
            <w:fldChar w:fldCharType="begin"/>
          </w:r>
          <w:r>
            <w:instrText xml:space="preserve"> PAGEREF _Toc188966827 \h </w:instrText>
          </w:r>
          <w:r>
            <w:fldChar w:fldCharType="separate"/>
          </w:r>
          <w:r>
            <w:t>50</w:t>
          </w:r>
          <w:r>
            <w:fldChar w:fldCharType="end"/>
          </w:r>
          <w:r>
            <w:fldChar w:fldCharType="end"/>
          </w:r>
        </w:p>
        <w:p w14:paraId="381BDF65">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"_Toc188966828" </w:instrText>
          </w:r>
          <w:r>
            <w:fldChar w:fldCharType="separate"/>
          </w:r>
          <w:r>
            <w:rPr>
              <w:rStyle w:val="16"/>
              <w:rFonts w:cstheme="minorHAnsi"/>
            </w:rPr>
            <w:t>4.1.</w:t>
          </w:r>
          <w:r>
            <w:rPr>
              <w:rFonts w:asciiTheme="minorHAnsi" w:hAnsiTheme="minorHAnsi" w:eastAsiaTheme="minorEastAsia" w:cstheme="minorBidi"/>
              <w:lang w:eastAsia="es-CO"/>
            </w:rPr>
            <w:tab/>
          </w:r>
          <w:r>
            <w:rPr>
              <w:rStyle w:val="16"/>
              <w:rFonts w:cstheme="minorHAnsi"/>
            </w:rPr>
            <w:t>INDICADORES Y REPORTE DE AUTOGESTIÓN PESV</w:t>
          </w:r>
          <w:r>
            <w:tab/>
          </w:r>
          <w:r>
            <w:fldChar w:fldCharType="begin"/>
          </w:r>
          <w:r>
            <w:instrText xml:space="preserve"> PAGEREF _Toc188966828 \h </w:instrText>
          </w:r>
          <w:r>
            <w:fldChar w:fldCharType="separate"/>
          </w:r>
          <w:r>
            <w:t>50</w:t>
          </w:r>
          <w:r>
            <w:fldChar w:fldCharType="end"/>
          </w:r>
          <w:r>
            <w:fldChar w:fldCharType="end"/>
          </w:r>
        </w:p>
        <w:p w14:paraId="2055EAA1">
          <w:pPr>
            <w:pStyle w:val="19"/>
            <w:tabs>
              <w:tab w:val="left" w:pos="1320"/>
              <w:tab w:val="right" w:leader="dot" w:pos="8828"/>
            </w:tabs>
            <w:rPr>
              <w:rFonts w:asciiTheme="minorHAnsi" w:hAnsiTheme="minorHAnsi" w:eastAsiaTheme="minorEastAsia" w:cstheme="minorBidi"/>
              <w:lang w:eastAsia="es-CO"/>
            </w:rPr>
          </w:pPr>
          <w:r>
            <w:fldChar w:fldCharType="begin"/>
          </w:r>
          <w:r>
            <w:instrText xml:space="preserve"> HYPERLINK \l "_Toc188966829" </w:instrText>
          </w:r>
          <w:r>
            <w:fldChar w:fldCharType="separate"/>
          </w:r>
          <w:r>
            <w:rPr>
              <w:rStyle w:val="16"/>
              <w:rFonts w:cstheme="minorHAnsi"/>
            </w:rPr>
            <w:t>4.1.1.</w:t>
          </w:r>
          <w:r>
            <w:rPr>
              <w:rFonts w:asciiTheme="minorHAnsi" w:hAnsiTheme="minorHAnsi" w:eastAsiaTheme="minorEastAsia" w:cstheme="minorBidi"/>
              <w:lang w:eastAsia="es-CO"/>
            </w:rPr>
            <w:tab/>
          </w:r>
          <w:r>
            <w:rPr>
              <w:rStyle w:val="16"/>
              <w:rFonts w:cstheme="minorHAnsi"/>
            </w:rPr>
            <w:t>INDICADORES DE GESTIÓN PESV</w:t>
          </w:r>
          <w:r>
            <w:tab/>
          </w:r>
          <w:r>
            <w:fldChar w:fldCharType="begin"/>
          </w:r>
          <w:r>
            <w:instrText xml:space="preserve"> PAGEREF _Toc188966829 \h </w:instrText>
          </w:r>
          <w:r>
            <w:fldChar w:fldCharType="separate"/>
          </w:r>
          <w:r>
            <w:t>50</w:t>
          </w:r>
          <w:r>
            <w:fldChar w:fldCharType="end"/>
          </w:r>
          <w:r>
            <w:fldChar w:fldCharType="end"/>
          </w:r>
        </w:p>
        <w:p w14:paraId="1B16DA2A">
          <w:pPr>
            <w:pStyle w:val="19"/>
            <w:tabs>
              <w:tab w:val="left" w:pos="1320"/>
              <w:tab w:val="right" w:leader="dot" w:pos="8828"/>
            </w:tabs>
            <w:rPr>
              <w:rFonts w:asciiTheme="minorHAnsi" w:hAnsiTheme="minorHAnsi" w:eastAsiaTheme="minorEastAsia" w:cstheme="minorBidi"/>
              <w:lang w:eastAsia="es-CO"/>
            </w:rPr>
          </w:pPr>
          <w:r>
            <w:fldChar w:fldCharType="begin"/>
          </w:r>
          <w:r>
            <w:instrText xml:space="preserve"> HYPERLINK \l "_Toc188966830" </w:instrText>
          </w:r>
          <w:r>
            <w:fldChar w:fldCharType="separate"/>
          </w:r>
          <w:r>
            <w:rPr>
              <w:rStyle w:val="16"/>
              <w:rFonts w:cstheme="minorHAnsi"/>
            </w:rPr>
            <w:t>4.1.2.</w:t>
          </w:r>
          <w:r>
            <w:rPr>
              <w:rFonts w:asciiTheme="minorHAnsi" w:hAnsiTheme="minorHAnsi" w:eastAsiaTheme="minorEastAsia" w:cstheme="minorBidi"/>
              <w:lang w:eastAsia="es-CO"/>
            </w:rPr>
            <w:tab/>
          </w:r>
          <w:r>
            <w:rPr>
              <w:rStyle w:val="16"/>
              <w:rFonts w:cstheme="minorHAnsi"/>
            </w:rPr>
            <w:t>REPORTE DE AUTOGESTIÓN PESV</w:t>
          </w:r>
          <w:r>
            <w:tab/>
          </w:r>
          <w:r>
            <w:fldChar w:fldCharType="begin"/>
          </w:r>
          <w:r>
            <w:instrText xml:space="preserve"> PAGEREF _Toc188966830 \h </w:instrText>
          </w:r>
          <w:r>
            <w:fldChar w:fldCharType="separate"/>
          </w:r>
          <w:r>
            <w:t>50</w:t>
          </w:r>
          <w:r>
            <w:fldChar w:fldCharType="end"/>
          </w:r>
          <w:r>
            <w:fldChar w:fldCharType="end"/>
          </w:r>
        </w:p>
        <w:p w14:paraId="56BC2F29">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"_Toc188966831" </w:instrText>
          </w:r>
          <w:r>
            <w:fldChar w:fldCharType="separate"/>
          </w:r>
          <w:r>
            <w:rPr>
              <w:rStyle w:val="16"/>
              <w:rFonts w:cstheme="minorHAnsi"/>
            </w:rPr>
            <w:t>4.2.</w:t>
          </w:r>
          <w:r>
            <w:rPr>
              <w:rFonts w:asciiTheme="minorHAnsi" w:hAnsiTheme="minorHAnsi" w:eastAsiaTheme="minorEastAsia" w:cstheme="minorBidi"/>
              <w:lang w:eastAsia="es-CO"/>
            </w:rPr>
            <w:tab/>
          </w:r>
          <w:r>
            <w:rPr>
              <w:rStyle w:val="16"/>
              <w:rFonts w:cstheme="minorHAnsi"/>
            </w:rPr>
            <w:t>REGISTRO Y ANALISIS ESTADISTICO DE SINIESTROS VIALES</w:t>
          </w:r>
          <w:r>
            <w:tab/>
          </w:r>
          <w:r>
            <w:fldChar w:fldCharType="begin"/>
          </w:r>
          <w:r>
            <w:instrText xml:space="preserve"> PAGEREF _Toc188966831 \h </w:instrText>
          </w:r>
          <w:r>
            <w:fldChar w:fldCharType="separate"/>
          </w:r>
          <w:r>
            <w:t>51</w:t>
          </w:r>
          <w:r>
            <w:fldChar w:fldCharType="end"/>
          </w:r>
          <w:r>
            <w:fldChar w:fldCharType="end"/>
          </w:r>
        </w:p>
        <w:p w14:paraId="0C6A10B0">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"_Toc188966832" </w:instrText>
          </w:r>
          <w:r>
            <w:fldChar w:fldCharType="separate"/>
          </w:r>
          <w:r>
            <w:rPr>
              <w:rStyle w:val="16"/>
              <w:rFonts w:cstheme="minorHAnsi"/>
            </w:rPr>
            <w:t>4.3.</w:t>
          </w:r>
          <w:r>
            <w:rPr>
              <w:rFonts w:asciiTheme="minorHAnsi" w:hAnsiTheme="minorHAnsi" w:eastAsiaTheme="minorEastAsia" w:cstheme="minorBidi"/>
              <w:lang w:eastAsia="es-CO"/>
            </w:rPr>
            <w:tab/>
          </w:r>
          <w:r>
            <w:rPr>
              <w:rStyle w:val="16"/>
              <w:rFonts w:cstheme="minorHAnsi"/>
            </w:rPr>
            <w:t>AUDITORIA ANUAL</w:t>
          </w:r>
          <w:r>
            <w:tab/>
          </w:r>
          <w:r>
            <w:fldChar w:fldCharType="begin"/>
          </w:r>
          <w:r>
            <w:instrText xml:space="preserve"> PAGEREF _Toc188966832 \h </w:instrText>
          </w:r>
          <w:r>
            <w:fldChar w:fldCharType="separate"/>
          </w:r>
          <w:r>
            <w:t>51</w:t>
          </w:r>
          <w:r>
            <w:fldChar w:fldCharType="end"/>
          </w:r>
          <w:r>
            <w:fldChar w:fldCharType="end"/>
          </w:r>
        </w:p>
        <w:p w14:paraId="5C0EECC7">
          <w:pPr>
            <w:pStyle w:val="22"/>
            <w:rPr>
              <w:rFonts w:asciiTheme="minorHAnsi" w:hAnsiTheme="minorHAnsi" w:eastAsiaTheme="minorEastAsia" w:cstheme="minorBidi"/>
              <w:b w:val="0"/>
              <w:lang w:eastAsia="es-CO"/>
            </w:rPr>
          </w:pPr>
          <w:r>
            <w:fldChar w:fldCharType="begin"/>
          </w:r>
          <w:r>
            <w:instrText xml:space="preserve"> HYPERLINK \l "_Toc188966833" </w:instrText>
          </w:r>
          <w:r>
            <w:fldChar w:fldCharType="separate"/>
          </w:r>
          <w:r>
            <w:rPr>
              <w:rStyle w:val="16"/>
              <w:rFonts w:cstheme="minorHAnsi"/>
            </w:rPr>
            <w:t>5.</w:t>
          </w:r>
          <w:r>
            <w:rPr>
              <w:rFonts w:asciiTheme="minorHAnsi" w:hAnsiTheme="minorHAnsi" w:eastAsiaTheme="minorEastAsia" w:cstheme="minorBidi"/>
              <w:b w:val="0"/>
              <w:lang w:eastAsia="es-CO"/>
            </w:rPr>
            <w:tab/>
          </w:r>
          <w:r>
            <w:rPr>
              <w:rStyle w:val="16"/>
              <w:rFonts w:cstheme="minorHAnsi"/>
            </w:rPr>
            <w:t>MEJORA CONTINUA PLAN ESTRATEGICO DE SEGURIDAD VIAL</w:t>
          </w:r>
          <w:r>
            <w:tab/>
          </w:r>
          <w:r>
            <w:fldChar w:fldCharType="begin"/>
          </w:r>
          <w:r>
            <w:instrText xml:space="preserve"> PAGEREF _Toc188966833 \h </w:instrText>
          </w:r>
          <w:r>
            <w:fldChar w:fldCharType="separate"/>
          </w:r>
          <w:r>
            <w:t>52</w:t>
          </w:r>
          <w:r>
            <w:fldChar w:fldCharType="end"/>
          </w:r>
          <w:r>
            <w:fldChar w:fldCharType="end"/>
          </w:r>
        </w:p>
        <w:p w14:paraId="439E7B04">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"_Toc188966834" </w:instrText>
          </w:r>
          <w:r>
            <w:fldChar w:fldCharType="separate"/>
          </w:r>
          <w:r>
            <w:rPr>
              <w:rStyle w:val="16"/>
              <w:rFonts w:cstheme="minorHAnsi"/>
            </w:rPr>
            <w:t>5.1.</w:t>
          </w:r>
          <w:r>
            <w:rPr>
              <w:rFonts w:asciiTheme="minorHAnsi" w:hAnsiTheme="minorHAnsi" w:eastAsiaTheme="minorEastAsia" w:cstheme="minorBidi"/>
              <w:lang w:eastAsia="es-CO"/>
            </w:rPr>
            <w:tab/>
          </w:r>
          <w:r>
            <w:rPr>
              <w:rStyle w:val="16"/>
              <w:rFonts w:cstheme="minorHAnsi"/>
            </w:rPr>
            <w:t>MEJORA CONTINUA, ACCIONES PREVENTIVAS Y CORRECTIVAS</w:t>
          </w:r>
          <w:r>
            <w:tab/>
          </w:r>
          <w:r>
            <w:fldChar w:fldCharType="begin"/>
          </w:r>
          <w:r>
            <w:instrText xml:space="preserve"> PAGEREF _Toc188966834 \h </w:instrText>
          </w:r>
          <w:r>
            <w:fldChar w:fldCharType="separate"/>
          </w:r>
          <w:r>
            <w:t>52</w:t>
          </w:r>
          <w:r>
            <w:fldChar w:fldCharType="end"/>
          </w:r>
          <w:r>
            <w:fldChar w:fldCharType="end"/>
          </w:r>
        </w:p>
        <w:p w14:paraId="31E2116F">
          <w:pPr>
            <w:pStyle w:val="23"/>
            <w:tabs>
              <w:tab w:val="left" w:pos="880"/>
              <w:tab w:val="right" w:leader="dot" w:pos="8828"/>
            </w:tabs>
            <w:rPr>
              <w:rFonts w:asciiTheme="minorHAnsi" w:hAnsiTheme="minorHAnsi" w:eastAsiaTheme="minorEastAsia" w:cstheme="minorBidi"/>
              <w:lang w:eastAsia="es-CO"/>
            </w:rPr>
          </w:pPr>
          <w:r>
            <w:fldChar w:fldCharType="begin"/>
          </w:r>
          <w:r>
            <w:instrText xml:space="preserve"> HYPERLINK \l "_Toc188966835" </w:instrText>
          </w:r>
          <w:r>
            <w:fldChar w:fldCharType="separate"/>
          </w:r>
          <w:r>
            <w:rPr>
              <w:rStyle w:val="16"/>
              <w:rFonts w:cstheme="minorHAnsi"/>
            </w:rPr>
            <w:t>5.2.</w:t>
          </w:r>
          <w:r>
            <w:rPr>
              <w:rFonts w:asciiTheme="minorHAnsi" w:hAnsiTheme="minorHAnsi" w:eastAsiaTheme="minorEastAsia" w:cstheme="minorBidi"/>
              <w:lang w:eastAsia="es-CO"/>
            </w:rPr>
            <w:tab/>
          </w:r>
          <w:r>
            <w:rPr>
              <w:rStyle w:val="16"/>
              <w:rFonts w:cstheme="minorHAnsi"/>
            </w:rPr>
            <w:t>MECANISMOS DE COMUNICACIÓN</w:t>
          </w:r>
          <w:r>
            <w:tab/>
          </w:r>
          <w:r>
            <w:fldChar w:fldCharType="begin"/>
          </w:r>
          <w:r>
            <w:instrText xml:space="preserve"> PAGEREF _Toc188966835 \h </w:instrText>
          </w:r>
          <w:r>
            <w:fldChar w:fldCharType="separate"/>
          </w:r>
          <w:r>
            <w:t>52</w:t>
          </w:r>
          <w:r>
            <w:fldChar w:fldCharType="end"/>
          </w:r>
          <w:r>
            <w:fldChar w:fldCharType="end"/>
          </w:r>
        </w:p>
        <w:p w14:paraId="12515C48">
          <w:pPr>
            <w:spacing w:line="276" w:lineRule="auto"/>
            <w:rPr>
              <w:rFonts w:asciiTheme="minorHAnsi" w:hAnsiTheme="minorHAnsi" w:cstheme="minorHAnsi"/>
              <w:bCs/>
              <w:szCs w:val="22"/>
              <w:lang w:val="es-ES"/>
            </w:rPr>
          </w:pPr>
          <w:r>
            <w:rPr>
              <w:rFonts w:asciiTheme="minorHAnsi" w:hAnsiTheme="minorHAnsi" w:cstheme="minorHAnsi"/>
              <w:bCs/>
              <w:szCs w:val="22"/>
              <w:lang w:val="es-ES"/>
            </w:rPr>
            <w:fldChar w:fldCharType="end"/>
          </w:r>
        </w:p>
      </w:sdtContent>
    </w:sdt>
    <w:p w14:paraId="564DE6A2">
      <w:pPr>
        <w:pStyle w:val="2"/>
        <w:numPr>
          <w:ilvl w:val="0"/>
          <w:numId w:val="0"/>
        </w:numPr>
        <w:spacing w:after="0" w:line="276" w:lineRule="auto"/>
        <w:ind w:left="574"/>
        <w:jc w:val="center"/>
        <w:rPr>
          <w:rFonts w:asciiTheme="minorHAnsi" w:hAnsiTheme="minorHAnsi" w:cstheme="minorHAnsi"/>
          <w:sz w:val="24"/>
        </w:rPr>
      </w:pPr>
      <w:bookmarkStart w:id="1" w:name="_Toc519172487"/>
      <w:bookmarkStart w:id="2" w:name="_Toc188966767"/>
      <w:r>
        <w:rPr>
          <w:rFonts w:asciiTheme="minorHAnsi" w:hAnsiTheme="minorHAnsi" w:cstheme="minorHAnsi"/>
          <w:sz w:val="24"/>
        </w:rPr>
        <w:t>CONTENIDO DE FIGURAS</w:t>
      </w:r>
      <w:bookmarkEnd w:id="1"/>
      <w:bookmarkEnd w:id="2"/>
    </w:p>
    <w:p w14:paraId="5DC99CCE">
      <w:pPr>
        <w:pStyle w:val="27"/>
        <w:tabs>
          <w:tab w:val="right" w:leader="dot" w:pos="8828"/>
        </w:tabs>
        <w:rPr>
          <w:rFonts w:asciiTheme="minorHAnsi" w:hAnsiTheme="minorHAnsi" w:eastAsiaTheme="minorEastAsia" w:cstheme="minorBidi"/>
          <w:szCs w:val="22"/>
          <w:lang w:val="es-ES"/>
        </w:rPr>
      </w:pPr>
      <w:r>
        <w:rPr>
          <w:rFonts w:asciiTheme="minorHAnsi" w:hAnsiTheme="minorHAnsi" w:cstheme="minorHAnsi"/>
          <w:bCs/>
          <w:sz w:val="24"/>
          <w:szCs w:val="24"/>
        </w:rPr>
        <w:fldChar w:fldCharType="begin"/>
      </w:r>
      <w:r>
        <w:rPr>
          <w:rFonts w:asciiTheme="minorHAnsi" w:hAnsiTheme="minorHAnsi" w:cstheme="minorHAnsi"/>
          <w:bCs/>
          <w:sz w:val="24"/>
          <w:szCs w:val="24"/>
        </w:rPr>
        <w:instrText xml:space="preserve"> TOC \h \z \c "Figura No." </w:instrText>
      </w:r>
      <w:r>
        <w:rPr>
          <w:rFonts w:asciiTheme="minorHAnsi" w:hAnsiTheme="minorHAnsi" w:cstheme="minorHAnsi"/>
          <w:bCs/>
          <w:sz w:val="24"/>
          <w:szCs w:val="24"/>
        </w:rPr>
        <w:fldChar w:fldCharType="separate"/>
      </w:r>
      <w:r>
        <w:fldChar w:fldCharType="begin"/>
      </w:r>
      <w:r>
        <w:instrText xml:space="preserve"> HYPERLINK \l "_Toc138145511" </w:instrText>
      </w:r>
      <w:r>
        <w:fldChar w:fldCharType="separate"/>
      </w:r>
      <w:r>
        <w:rPr>
          <w:rStyle w:val="16"/>
          <w:rFonts w:cstheme="minorHAnsi"/>
        </w:rPr>
        <w:t>Figura No. 1. Red de procesos SIGA</w:t>
      </w:r>
      <w:r>
        <w:tab/>
      </w:r>
      <w:r>
        <w:fldChar w:fldCharType="begin"/>
      </w:r>
      <w:r>
        <w:instrText xml:space="preserve"> PAGEREF _Toc138145511 \h </w:instrText>
      </w:r>
      <w:r>
        <w:fldChar w:fldCharType="separate"/>
      </w:r>
      <w:r>
        <w:t>19</w:t>
      </w:r>
      <w:r>
        <w:fldChar w:fldCharType="end"/>
      </w:r>
      <w:r>
        <w:fldChar w:fldCharType="end"/>
      </w:r>
    </w:p>
    <w:p w14:paraId="044BEC6F">
      <w:pPr>
        <w:spacing w:line="276" w:lineRule="auto"/>
        <w:rPr>
          <w:rFonts w:asciiTheme="minorHAnsi" w:hAnsiTheme="minorHAnsi" w:cstheme="minorHAnsi"/>
          <w:sz w:val="24"/>
          <w:szCs w:val="24"/>
          <w:lang w:eastAsia="en-US"/>
        </w:rPr>
      </w:pPr>
      <w:r>
        <w:rPr>
          <w:rFonts w:asciiTheme="minorHAnsi" w:hAnsiTheme="minorHAnsi" w:cstheme="minorHAnsi"/>
          <w:bCs/>
          <w:sz w:val="24"/>
          <w:szCs w:val="24"/>
        </w:rPr>
        <w:fldChar w:fldCharType="end"/>
      </w:r>
    </w:p>
    <w:p w14:paraId="4FF93AC4">
      <w:pPr>
        <w:spacing w:line="276" w:lineRule="auto"/>
        <w:rPr>
          <w:rFonts w:asciiTheme="minorHAnsi" w:hAnsiTheme="minorHAnsi" w:cstheme="minorHAnsi"/>
          <w:sz w:val="24"/>
          <w:szCs w:val="24"/>
          <w:lang w:eastAsia="en-US"/>
        </w:rPr>
      </w:pPr>
    </w:p>
    <w:p w14:paraId="4E5BB6AB">
      <w:pPr>
        <w:spacing w:line="276" w:lineRule="auto"/>
        <w:rPr>
          <w:rFonts w:asciiTheme="minorHAnsi" w:hAnsiTheme="minorHAnsi" w:cstheme="minorHAnsi"/>
          <w:sz w:val="24"/>
          <w:szCs w:val="24"/>
          <w:lang w:eastAsia="en-US"/>
        </w:rPr>
      </w:pPr>
    </w:p>
    <w:p w14:paraId="33704AD1">
      <w:pPr>
        <w:spacing w:line="276" w:lineRule="auto"/>
        <w:rPr>
          <w:rFonts w:asciiTheme="minorHAnsi" w:hAnsiTheme="minorHAnsi" w:cstheme="minorHAnsi"/>
          <w:sz w:val="24"/>
          <w:szCs w:val="24"/>
          <w:lang w:eastAsia="en-US"/>
        </w:rPr>
      </w:pPr>
    </w:p>
    <w:p w14:paraId="06478231">
      <w:pPr>
        <w:spacing w:line="276" w:lineRule="auto"/>
        <w:rPr>
          <w:rFonts w:asciiTheme="minorHAnsi" w:hAnsiTheme="minorHAnsi" w:cstheme="minorHAnsi"/>
          <w:sz w:val="24"/>
          <w:szCs w:val="24"/>
          <w:lang w:eastAsia="en-US"/>
        </w:rPr>
      </w:pPr>
    </w:p>
    <w:p w14:paraId="23347A0D">
      <w:pPr>
        <w:spacing w:line="276" w:lineRule="auto"/>
        <w:rPr>
          <w:rFonts w:asciiTheme="minorHAnsi" w:hAnsiTheme="minorHAnsi" w:cstheme="minorHAnsi"/>
          <w:sz w:val="24"/>
          <w:szCs w:val="24"/>
          <w:lang w:eastAsia="en-US"/>
        </w:rPr>
      </w:pPr>
    </w:p>
    <w:p w14:paraId="08332FD8">
      <w:pPr>
        <w:spacing w:line="276" w:lineRule="auto"/>
        <w:rPr>
          <w:rFonts w:asciiTheme="minorHAnsi" w:hAnsiTheme="minorHAnsi" w:cstheme="minorHAnsi"/>
          <w:sz w:val="24"/>
          <w:szCs w:val="24"/>
          <w:lang w:eastAsia="en-US"/>
        </w:rPr>
      </w:pPr>
    </w:p>
    <w:p w14:paraId="23188CF2">
      <w:pPr>
        <w:spacing w:line="276" w:lineRule="auto"/>
        <w:rPr>
          <w:rFonts w:asciiTheme="minorHAnsi" w:hAnsiTheme="minorHAnsi" w:cstheme="minorHAnsi"/>
          <w:sz w:val="24"/>
          <w:szCs w:val="24"/>
          <w:lang w:eastAsia="en-US"/>
        </w:rPr>
      </w:pPr>
    </w:p>
    <w:p w14:paraId="64060B6B">
      <w:pPr>
        <w:spacing w:line="276" w:lineRule="auto"/>
        <w:rPr>
          <w:rFonts w:asciiTheme="minorHAnsi" w:hAnsiTheme="minorHAnsi" w:cstheme="minorHAnsi"/>
          <w:sz w:val="24"/>
          <w:szCs w:val="24"/>
          <w:lang w:eastAsia="en-US"/>
        </w:rPr>
      </w:pPr>
    </w:p>
    <w:p w14:paraId="7438BDC2">
      <w:pPr>
        <w:spacing w:line="276" w:lineRule="auto"/>
        <w:rPr>
          <w:rFonts w:asciiTheme="minorHAnsi" w:hAnsiTheme="minorHAnsi" w:cstheme="minorHAnsi"/>
          <w:sz w:val="24"/>
          <w:szCs w:val="24"/>
          <w:lang w:eastAsia="en-US"/>
        </w:rPr>
      </w:pPr>
    </w:p>
    <w:p w14:paraId="5DBB24C5">
      <w:pPr>
        <w:spacing w:line="276" w:lineRule="auto"/>
        <w:rPr>
          <w:rFonts w:asciiTheme="minorHAnsi" w:hAnsiTheme="minorHAnsi" w:cstheme="minorBidi"/>
          <w:sz w:val="24"/>
          <w:szCs w:val="24"/>
          <w:lang w:eastAsia="en-US"/>
        </w:rPr>
      </w:pPr>
    </w:p>
    <w:p w14:paraId="78AA5C78">
      <w:pPr>
        <w:spacing w:line="276" w:lineRule="auto"/>
        <w:rPr>
          <w:rFonts w:asciiTheme="minorHAnsi" w:hAnsiTheme="minorHAnsi" w:cstheme="minorBidi"/>
          <w:sz w:val="24"/>
          <w:szCs w:val="24"/>
          <w:lang w:eastAsia="en-US"/>
        </w:rPr>
      </w:pPr>
    </w:p>
    <w:p w14:paraId="5F3C52B0">
      <w:pPr>
        <w:spacing w:line="276" w:lineRule="auto"/>
        <w:rPr>
          <w:rFonts w:asciiTheme="minorHAnsi" w:hAnsiTheme="minorHAnsi" w:cstheme="minorBidi"/>
          <w:sz w:val="24"/>
          <w:szCs w:val="24"/>
          <w:lang w:eastAsia="en-US"/>
        </w:rPr>
      </w:pPr>
    </w:p>
    <w:p w14:paraId="60D1181A">
      <w:pPr>
        <w:spacing w:line="276" w:lineRule="auto"/>
        <w:rPr>
          <w:rFonts w:asciiTheme="minorHAnsi" w:hAnsiTheme="minorHAnsi" w:cstheme="minorBidi"/>
          <w:sz w:val="24"/>
          <w:szCs w:val="24"/>
          <w:lang w:eastAsia="en-US"/>
        </w:rPr>
      </w:pPr>
    </w:p>
    <w:p w14:paraId="6AD40D99">
      <w:pPr>
        <w:spacing w:line="276" w:lineRule="auto"/>
        <w:rPr>
          <w:rFonts w:asciiTheme="minorHAnsi" w:hAnsiTheme="minorHAnsi" w:cstheme="minorBidi"/>
          <w:sz w:val="24"/>
          <w:szCs w:val="24"/>
          <w:lang w:eastAsia="en-US"/>
        </w:rPr>
      </w:pPr>
    </w:p>
    <w:p w14:paraId="3498BCCF">
      <w:pPr>
        <w:spacing w:line="276" w:lineRule="auto"/>
        <w:rPr>
          <w:rFonts w:asciiTheme="minorHAnsi" w:hAnsiTheme="minorHAnsi" w:cstheme="minorBidi"/>
          <w:sz w:val="24"/>
          <w:szCs w:val="24"/>
          <w:lang w:eastAsia="en-US"/>
        </w:rPr>
      </w:pPr>
    </w:p>
    <w:p w14:paraId="4A319596">
      <w:pPr>
        <w:spacing w:line="276" w:lineRule="auto"/>
        <w:rPr>
          <w:rFonts w:asciiTheme="minorHAnsi" w:hAnsiTheme="minorHAnsi" w:cstheme="minorBidi"/>
          <w:sz w:val="24"/>
          <w:szCs w:val="24"/>
          <w:lang w:eastAsia="en-US"/>
        </w:rPr>
      </w:pPr>
    </w:p>
    <w:p w14:paraId="5774EBF8">
      <w:pPr>
        <w:spacing w:line="276" w:lineRule="auto"/>
        <w:rPr>
          <w:rFonts w:asciiTheme="minorHAnsi" w:hAnsiTheme="minorHAnsi" w:cstheme="minorBidi"/>
          <w:sz w:val="24"/>
          <w:szCs w:val="24"/>
          <w:lang w:eastAsia="en-US"/>
        </w:rPr>
      </w:pPr>
    </w:p>
    <w:p w14:paraId="61E48587">
      <w:pPr>
        <w:spacing w:line="276" w:lineRule="auto"/>
        <w:rPr>
          <w:rFonts w:asciiTheme="minorHAnsi" w:hAnsiTheme="minorHAnsi" w:cstheme="minorHAnsi"/>
          <w:sz w:val="24"/>
          <w:szCs w:val="24"/>
          <w:lang w:eastAsia="en-US"/>
        </w:rPr>
      </w:pPr>
    </w:p>
    <w:p w14:paraId="301B3A7F">
      <w:pPr>
        <w:spacing w:line="276" w:lineRule="auto"/>
        <w:rPr>
          <w:rFonts w:asciiTheme="minorHAnsi" w:hAnsiTheme="minorHAnsi" w:cstheme="minorHAnsi"/>
          <w:sz w:val="24"/>
          <w:szCs w:val="24"/>
          <w:lang w:eastAsia="en-US"/>
        </w:rPr>
      </w:pPr>
    </w:p>
    <w:p w14:paraId="51B98508">
      <w:pPr>
        <w:spacing w:line="276" w:lineRule="auto"/>
        <w:rPr>
          <w:rFonts w:asciiTheme="minorHAnsi" w:hAnsiTheme="minorHAnsi" w:cstheme="minorHAnsi"/>
          <w:sz w:val="24"/>
          <w:szCs w:val="24"/>
          <w:lang w:eastAsia="en-US"/>
        </w:rPr>
      </w:pPr>
    </w:p>
    <w:p w14:paraId="393C9269">
      <w:pPr>
        <w:spacing w:line="276" w:lineRule="auto"/>
        <w:rPr>
          <w:rFonts w:asciiTheme="minorHAnsi" w:hAnsiTheme="minorHAnsi" w:cstheme="minorHAnsi"/>
          <w:sz w:val="24"/>
          <w:szCs w:val="24"/>
          <w:lang w:eastAsia="en-US"/>
        </w:rPr>
      </w:pPr>
    </w:p>
    <w:p w14:paraId="490B5838">
      <w:pPr>
        <w:spacing w:line="276" w:lineRule="auto"/>
        <w:rPr>
          <w:rFonts w:asciiTheme="minorHAnsi" w:hAnsiTheme="minorHAnsi" w:cstheme="minorHAnsi"/>
          <w:sz w:val="24"/>
          <w:szCs w:val="24"/>
          <w:lang w:eastAsia="en-US"/>
        </w:rPr>
      </w:pPr>
    </w:p>
    <w:p w14:paraId="38555FB2">
      <w:pPr>
        <w:spacing w:line="276" w:lineRule="auto"/>
        <w:rPr>
          <w:rFonts w:asciiTheme="minorHAnsi" w:hAnsiTheme="minorHAnsi" w:cstheme="minorHAnsi"/>
          <w:sz w:val="24"/>
          <w:szCs w:val="24"/>
          <w:lang w:eastAsia="en-US"/>
        </w:rPr>
      </w:pPr>
    </w:p>
    <w:p w14:paraId="648C9B89">
      <w:pPr>
        <w:spacing w:line="276" w:lineRule="auto"/>
        <w:rPr>
          <w:rFonts w:asciiTheme="minorHAnsi" w:hAnsiTheme="minorHAnsi" w:cstheme="minorHAnsi"/>
          <w:sz w:val="24"/>
          <w:szCs w:val="24"/>
          <w:lang w:eastAsia="en-US"/>
        </w:rPr>
      </w:pPr>
    </w:p>
    <w:p w14:paraId="6EF1DBC7">
      <w:pPr>
        <w:pStyle w:val="2"/>
        <w:numPr>
          <w:ilvl w:val="0"/>
          <w:numId w:val="0"/>
        </w:numPr>
        <w:spacing w:after="0" w:line="276" w:lineRule="auto"/>
        <w:jc w:val="center"/>
        <w:rPr>
          <w:rFonts w:asciiTheme="minorHAnsi" w:hAnsiTheme="minorHAnsi" w:cstheme="minorHAnsi"/>
          <w:sz w:val="24"/>
        </w:rPr>
      </w:pPr>
      <w:bookmarkStart w:id="3" w:name="_Toc188966768"/>
      <w:bookmarkStart w:id="4" w:name="_Toc519172489"/>
      <w:r>
        <w:rPr>
          <w:rFonts w:asciiTheme="minorHAnsi" w:hAnsiTheme="minorHAnsi" w:cstheme="minorHAnsi"/>
          <w:sz w:val="24"/>
        </w:rPr>
        <w:t>INTRODUCCIÓN</w:t>
      </w:r>
      <w:bookmarkEnd w:id="3"/>
      <w:bookmarkEnd w:id="4"/>
    </w:p>
    <w:p w14:paraId="4F894672">
      <w:pPr>
        <w:spacing w:line="276" w:lineRule="auto"/>
        <w:rPr>
          <w:rFonts w:asciiTheme="minorHAnsi" w:hAnsiTheme="minorHAnsi" w:cstheme="minorHAnsi"/>
          <w:sz w:val="24"/>
          <w:szCs w:val="24"/>
          <w:lang w:val="es-VE" w:eastAsia="en-US"/>
        </w:rPr>
      </w:pPr>
    </w:p>
    <w:p w14:paraId="606065A5">
      <w:pPr>
        <w:suppressAutoHyphens/>
        <w:spacing w:line="276" w:lineRule="auto"/>
        <w:rPr>
          <w:rFonts w:asciiTheme="minorHAnsi" w:hAnsiTheme="minorHAnsi" w:cstheme="minorHAnsi"/>
          <w:kern w:val="1"/>
          <w:sz w:val="24"/>
          <w:szCs w:val="24"/>
          <w:lang w:eastAsia="es-CO"/>
        </w:rPr>
      </w:pPr>
      <w:r>
        <w:rPr>
          <w:rFonts w:asciiTheme="minorHAnsi" w:hAnsiTheme="minorHAnsi" w:cstheme="minorHAnsi"/>
          <w:kern w:val="1"/>
          <w:sz w:val="24"/>
          <w:szCs w:val="24"/>
          <w:lang w:eastAsia="es-CO"/>
        </w:rPr>
        <w:t>La seguridad, vial al igual que otros procesos de seguridad, involucra distintos actores: conductores de los distintos automotores (vehículos livianos, pesados, motocicletas, maquinaria amarilla, etc.), peatones, autoridades viales, empresas del sector público y privado, así como entidades administrativas que regulan la adecuación de la infraestructura vial.</w:t>
      </w:r>
    </w:p>
    <w:p w14:paraId="6D2849CC">
      <w:pPr>
        <w:suppressAutoHyphens/>
        <w:spacing w:line="276" w:lineRule="auto"/>
        <w:rPr>
          <w:rFonts w:eastAsia="Calibri" w:asciiTheme="minorHAnsi" w:hAnsiTheme="minorHAnsi" w:cstheme="minorHAnsi"/>
          <w:kern w:val="1"/>
          <w:sz w:val="24"/>
          <w:szCs w:val="24"/>
          <w:lang w:eastAsia="en-US"/>
        </w:rPr>
      </w:pPr>
    </w:p>
    <w:p w14:paraId="3DA415AA">
      <w:pPr>
        <w:suppressAutoHyphens/>
        <w:spacing w:line="276" w:lineRule="auto"/>
        <w:rPr>
          <w:rFonts w:asciiTheme="minorHAnsi" w:hAnsiTheme="minorHAnsi" w:cstheme="minorHAnsi"/>
          <w:kern w:val="1"/>
          <w:sz w:val="24"/>
          <w:szCs w:val="24"/>
          <w:lang w:eastAsia="es-CO"/>
        </w:rPr>
      </w:pPr>
      <w:r>
        <w:rPr>
          <w:rFonts w:asciiTheme="minorHAnsi" w:hAnsiTheme="minorHAnsi" w:cstheme="minorHAnsi"/>
          <w:kern w:val="1"/>
          <w:sz w:val="24"/>
          <w:szCs w:val="24"/>
          <w:lang w:eastAsia="es-CO"/>
        </w:rPr>
        <w:t xml:space="preserve">En cumplimiento de la Ley 1503 del 2011 reglamentado por el decreto 2851 de 2013 y la Resolución </w:t>
      </w:r>
      <w:r>
        <w:rPr>
          <w:rFonts w:asciiTheme="minorHAnsi" w:hAnsiTheme="minorHAnsi" w:cstheme="minorHAnsi"/>
          <w:color w:val="00B050"/>
          <w:kern w:val="1"/>
          <w:sz w:val="24"/>
          <w:szCs w:val="24"/>
          <w:lang w:eastAsia="es-CO"/>
        </w:rPr>
        <w:t>40595 de 2022</w:t>
      </w:r>
      <w:r>
        <w:rPr>
          <w:rFonts w:asciiTheme="minorHAnsi" w:hAnsiTheme="minorHAnsi" w:cstheme="minorHAnsi"/>
          <w:kern w:val="1"/>
          <w:sz w:val="24"/>
          <w:szCs w:val="24"/>
          <w:lang w:eastAsia="es-CO"/>
        </w:rPr>
        <w:t xml:space="preserve">, en concordancia con la política pública formulada por el gobierno nacional en el marco del “Plan Nacional De Seguridad Vial” para el cuatrienio del </w:t>
      </w:r>
      <w:r>
        <w:rPr>
          <w:rFonts w:asciiTheme="minorHAnsi" w:hAnsiTheme="minorHAnsi" w:cstheme="minorHAnsi"/>
          <w:color w:val="00B050"/>
          <w:kern w:val="1"/>
          <w:sz w:val="24"/>
          <w:szCs w:val="24"/>
          <w:lang w:eastAsia="es-CO"/>
        </w:rPr>
        <w:t>2022</w:t>
      </w:r>
      <w:r>
        <w:rPr>
          <w:rFonts w:asciiTheme="minorHAnsi" w:hAnsiTheme="minorHAnsi" w:cstheme="minorHAnsi"/>
          <w:kern w:val="1"/>
          <w:sz w:val="24"/>
          <w:szCs w:val="24"/>
          <w:lang w:eastAsia="es-CO"/>
        </w:rPr>
        <w:t xml:space="preserve"> al </w:t>
      </w:r>
      <w:r>
        <w:rPr>
          <w:rFonts w:asciiTheme="minorHAnsi" w:hAnsiTheme="minorHAnsi" w:cstheme="minorHAnsi"/>
          <w:color w:val="00B050"/>
          <w:kern w:val="1"/>
          <w:sz w:val="24"/>
          <w:szCs w:val="24"/>
          <w:lang w:eastAsia="es-CO"/>
        </w:rPr>
        <w:t>2031</w:t>
      </w:r>
      <w:r>
        <w:rPr>
          <w:rFonts w:asciiTheme="minorHAnsi" w:hAnsiTheme="minorHAnsi" w:cstheme="minorHAnsi"/>
          <w:kern w:val="1"/>
          <w:sz w:val="24"/>
          <w:szCs w:val="24"/>
          <w:lang w:eastAsia="es-CO"/>
        </w:rPr>
        <w:t xml:space="preserve">, </w:t>
      </w:r>
      <w:r>
        <w:rPr>
          <w:rFonts w:eastAsia="Calibri" w:asciiTheme="minorHAnsi" w:hAnsiTheme="minorHAnsi" w:cstheme="minorHAnsi"/>
          <w:bCs/>
          <w:sz w:val="24"/>
          <w:szCs w:val="24"/>
          <w:lang w:eastAsia="en-US"/>
        </w:rPr>
        <w:t>el</w:t>
      </w:r>
      <w:r>
        <w:rPr>
          <w:rFonts w:eastAsia="Calibri" w:asciiTheme="minorHAnsi" w:hAnsiTheme="minorHAnsi" w:cstheme="minorHAnsi"/>
          <w:b/>
          <w:bCs/>
          <w:sz w:val="24"/>
          <w:szCs w:val="24"/>
          <w:lang w:eastAsia="en-US"/>
        </w:rPr>
        <w:t xml:space="preserve"> SERVICIO NACIONAL DE APRENDIZAJE SENA</w:t>
      </w:r>
      <w:r>
        <w:rPr>
          <w:rFonts w:eastAsia="Calibri" w:asciiTheme="minorHAnsi" w:hAnsiTheme="minorHAnsi" w:cstheme="minorHAnsi"/>
          <w:sz w:val="24"/>
          <w:szCs w:val="24"/>
          <w:lang w:eastAsia="en-US"/>
        </w:rPr>
        <w:t>,</w:t>
      </w:r>
      <w:r>
        <w:rPr>
          <w:rFonts w:asciiTheme="minorHAnsi" w:hAnsiTheme="minorHAnsi" w:cstheme="minorHAnsi"/>
          <w:kern w:val="1"/>
          <w:sz w:val="24"/>
          <w:szCs w:val="24"/>
          <w:lang w:eastAsia="es-CO"/>
        </w:rPr>
        <w:t xml:space="preserve"> formula e implementa el Plan Estratégico de Seguridad Vial SENA, como parte integral del Sub sistema de Gestión de Seguridad y Salud en el Trabajo, presentando las directrices que deberán ser cumplidas en pro de la protección y bienestar integral de sus funcionarios, colaboradores y contratistas en general. </w:t>
      </w:r>
    </w:p>
    <w:p w14:paraId="5ADFECA7">
      <w:pPr>
        <w:suppressAutoHyphens/>
        <w:spacing w:line="276" w:lineRule="auto"/>
        <w:rPr>
          <w:rFonts w:eastAsia="Calibri" w:asciiTheme="minorHAnsi" w:hAnsiTheme="minorHAnsi" w:cstheme="minorHAnsi"/>
          <w:kern w:val="1"/>
          <w:sz w:val="24"/>
          <w:szCs w:val="24"/>
          <w:lang w:eastAsia="en-US"/>
        </w:rPr>
      </w:pPr>
    </w:p>
    <w:p w14:paraId="5B86B0F6">
      <w:pPr>
        <w:suppressAutoHyphens/>
        <w:spacing w:line="276" w:lineRule="auto"/>
        <w:rPr>
          <w:rFonts w:eastAsia="Calibri" w:asciiTheme="minorHAnsi" w:hAnsiTheme="minorHAnsi" w:cstheme="minorHAnsi"/>
          <w:kern w:val="1"/>
          <w:sz w:val="24"/>
          <w:szCs w:val="24"/>
          <w:lang w:eastAsia="en-US"/>
        </w:rPr>
      </w:pPr>
      <w:r>
        <w:rPr>
          <w:rFonts w:asciiTheme="minorHAnsi" w:hAnsiTheme="minorHAnsi" w:cstheme="minorHAnsi"/>
          <w:kern w:val="1"/>
          <w:sz w:val="24"/>
          <w:szCs w:val="24"/>
          <w:lang w:eastAsia="es-CO"/>
        </w:rPr>
        <w:t xml:space="preserve">La necesaria articulación tiene como finalidad la prevención de los </w:t>
      </w:r>
      <w:r>
        <w:rPr>
          <w:rFonts w:asciiTheme="minorHAnsi" w:hAnsiTheme="minorHAnsi" w:cstheme="minorHAnsi"/>
          <w:color w:val="00B050"/>
          <w:kern w:val="1"/>
          <w:sz w:val="24"/>
          <w:szCs w:val="24"/>
          <w:lang w:eastAsia="es-CO"/>
        </w:rPr>
        <w:t>siniestros</w:t>
      </w:r>
      <w:r>
        <w:rPr>
          <w:rFonts w:asciiTheme="minorHAnsi" w:hAnsiTheme="minorHAnsi" w:cstheme="minorHAnsi"/>
          <w:kern w:val="1"/>
          <w:sz w:val="24"/>
          <w:szCs w:val="24"/>
          <w:lang w:eastAsia="es-CO"/>
        </w:rPr>
        <w:t xml:space="preserve"> viales, generar un cambio en la cultura de los conductores, directivos y funcionarios frente a las actividades asociadas a la seguridad vial, con el objetivo principal de preservar la vida humana y disminuir el número de lesionados generados por los accidentes de tránsito.</w:t>
      </w:r>
    </w:p>
    <w:p w14:paraId="593FB597">
      <w:pPr>
        <w:suppressAutoHyphens/>
        <w:spacing w:after="102" w:line="276" w:lineRule="auto"/>
        <w:rPr>
          <w:rFonts w:eastAsia="Calibri" w:asciiTheme="minorHAnsi" w:hAnsiTheme="minorHAnsi" w:cstheme="minorHAnsi"/>
          <w:kern w:val="1"/>
          <w:sz w:val="24"/>
          <w:szCs w:val="24"/>
          <w:lang w:eastAsia="en-US"/>
        </w:rPr>
      </w:pPr>
    </w:p>
    <w:p w14:paraId="7C265518">
      <w:pPr>
        <w:suppressAutoHyphens/>
        <w:spacing w:after="102" w:line="276" w:lineRule="auto"/>
        <w:rPr>
          <w:rFonts w:eastAsia="Calibri" w:asciiTheme="minorHAnsi" w:hAnsiTheme="minorHAnsi" w:cstheme="minorHAnsi"/>
          <w:kern w:val="1"/>
          <w:sz w:val="24"/>
          <w:szCs w:val="24"/>
          <w:lang w:eastAsia="en-US"/>
        </w:rPr>
      </w:pPr>
      <w:r>
        <w:rPr>
          <w:rFonts w:eastAsia="Calibri" w:asciiTheme="minorHAnsi" w:hAnsiTheme="minorHAnsi" w:cstheme="minorHAnsi"/>
          <w:sz w:val="24"/>
          <w:szCs w:val="24"/>
          <w:lang w:eastAsia="en-US"/>
        </w:rPr>
        <w:t xml:space="preserve">El </w:t>
      </w:r>
      <w:r>
        <w:rPr>
          <w:rFonts w:eastAsia="Calibri" w:asciiTheme="minorHAnsi" w:hAnsiTheme="minorHAnsi" w:cstheme="minorHAnsi"/>
          <w:b/>
          <w:bCs/>
          <w:sz w:val="24"/>
          <w:szCs w:val="24"/>
          <w:lang w:eastAsia="en-US"/>
        </w:rPr>
        <w:t>SERVICIO NACIONAL DE APRENDIZAJE SENA</w:t>
      </w:r>
      <w:r>
        <w:rPr>
          <w:rFonts w:eastAsia="Calibri" w:asciiTheme="minorHAnsi" w:hAnsiTheme="minorHAnsi" w:cstheme="minorHAnsi"/>
          <w:sz w:val="24"/>
          <w:szCs w:val="24"/>
          <w:lang w:eastAsia="en-US"/>
        </w:rPr>
        <w:t>, se une al compromiso social del Estado fijado a través de la política nacional de seguridad vial como prioridad para garantizar el derecho a la vida en la vía, asumiendo una cultura de movilidad segura, saludable, responsable e incluyente, sustentada en el ejercicio consciente de principios, valores, educación, sensibilización, conciencia, estilos de conducción segura y buenas prácticas de conducta social de todos los colaboradores de la entidad en materia del uso de la vía.</w:t>
      </w:r>
    </w:p>
    <w:p w14:paraId="659B617E">
      <w:pPr>
        <w:suppressAutoHyphens/>
        <w:spacing w:line="276" w:lineRule="auto"/>
        <w:rPr>
          <w:rFonts w:eastAsia="Calibri" w:asciiTheme="minorHAnsi" w:hAnsiTheme="minorHAnsi" w:cstheme="minorHAnsi"/>
          <w:kern w:val="1"/>
          <w:sz w:val="24"/>
          <w:szCs w:val="24"/>
          <w:lang w:eastAsia="en-US"/>
        </w:rPr>
      </w:pPr>
    </w:p>
    <w:p w14:paraId="084ADA49">
      <w:pPr>
        <w:suppressAutoHyphens/>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 xml:space="preserve">Para el Servicio Nacional de Aprendizaje SENA, el Plan Estratégico de Seguridad Vial, constituye la Hoja de ruta (plan, planificación, agenda, programación) y herramienta fundamental para promover las acciones, mecanismos, medidas, planes y estrategias enmarcados en tiempos, recursos y actores concretos que permitan garantizar aportes significativos en prevenir, minimizar o reducir los </w:t>
      </w:r>
      <w:r>
        <w:rPr>
          <w:rFonts w:eastAsia="Calibri" w:asciiTheme="minorHAnsi" w:hAnsiTheme="minorHAnsi" w:cstheme="minorHAnsi"/>
          <w:color w:val="00B050"/>
          <w:sz w:val="24"/>
          <w:szCs w:val="24"/>
          <w:lang w:eastAsia="en-US"/>
        </w:rPr>
        <w:t>siniestros viales</w:t>
      </w:r>
      <w:r>
        <w:rPr>
          <w:rFonts w:eastAsia="Calibri" w:asciiTheme="minorHAnsi" w:hAnsiTheme="minorHAnsi" w:cstheme="minorHAnsi"/>
          <w:sz w:val="24"/>
          <w:szCs w:val="24"/>
          <w:lang w:eastAsia="en-US"/>
        </w:rPr>
        <w:t xml:space="preserve"> en la entidad.</w:t>
      </w:r>
    </w:p>
    <w:p w14:paraId="63942A47">
      <w:pPr>
        <w:suppressAutoHyphens/>
        <w:spacing w:line="276" w:lineRule="auto"/>
        <w:rPr>
          <w:rFonts w:eastAsia="Calibri" w:asciiTheme="minorHAnsi" w:hAnsiTheme="minorHAnsi" w:cstheme="minorHAnsi"/>
          <w:sz w:val="24"/>
          <w:szCs w:val="24"/>
          <w:lang w:eastAsia="en-US"/>
        </w:rPr>
      </w:pPr>
    </w:p>
    <w:p w14:paraId="5A97B8BC">
      <w:pPr>
        <w:suppressAutoHyphens/>
        <w:spacing w:line="276" w:lineRule="auto"/>
        <w:rPr>
          <w:rFonts w:eastAsia="Calibri" w:asciiTheme="minorHAnsi" w:hAnsiTheme="minorHAnsi" w:cstheme="minorHAnsi"/>
          <w:sz w:val="24"/>
          <w:szCs w:val="24"/>
          <w:lang w:eastAsia="en-US"/>
        </w:rPr>
      </w:pPr>
    </w:p>
    <w:p w14:paraId="1EAE0419">
      <w:pPr>
        <w:suppressAutoHyphens/>
        <w:spacing w:line="276" w:lineRule="auto"/>
        <w:rPr>
          <w:rFonts w:eastAsia="Calibri" w:asciiTheme="minorHAnsi" w:hAnsiTheme="minorHAnsi" w:cstheme="minorHAnsi"/>
          <w:sz w:val="24"/>
          <w:szCs w:val="24"/>
          <w:lang w:eastAsia="en-US"/>
        </w:rPr>
      </w:pPr>
    </w:p>
    <w:p w14:paraId="69533E37">
      <w:pPr>
        <w:pStyle w:val="2"/>
        <w:numPr>
          <w:ilvl w:val="0"/>
          <w:numId w:val="0"/>
        </w:numPr>
        <w:spacing w:line="276" w:lineRule="auto"/>
        <w:rPr>
          <w:rFonts w:asciiTheme="minorHAnsi" w:hAnsiTheme="minorHAnsi" w:cstheme="minorHAnsi"/>
          <w:sz w:val="24"/>
        </w:rPr>
      </w:pPr>
      <w:bookmarkStart w:id="5" w:name="_Toc188966769"/>
      <w:r>
        <w:rPr>
          <w:rFonts w:asciiTheme="minorHAnsi" w:hAnsiTheme="minorHAnsi" w:cstheme="minorHAnsi"/>
          <w:color w:val="000000" w:themeColor="text1"/>
          <w:sz w:val="24"/>
          <w14:textFill>
            <w14:solidFill>
              <w14:schemeClr w14:val="tx1"/>
            </w14:solidFill>
          </w14:textFill>
        </w:rPr>
        <w:t>DEFINICIONES</w:t>
      </w:r>
      <w:bookmarkEnd w:id="5"/>
      <w:r>
        <w:rPr>
          <w:rFonts w:asciiTheme="minorHAnsi" w:hAnsiTheme="minorHAnsi" w:cstheme="minorHAnsi"/>
          <w:sz w:val="24"/>
        </w:rPr>
        <w:t xml:space="preserve"> </w:t>
      </w:r>
    </w:p>
    <w:p w14:paraId="3986A3D1">
      <w:pPr>
        <w:numPr>
          <w:ilvl w:val="0"/>
          <w:numId w:val="3"/>
        </w:numPr>
        <w:suppressAutoHyphens/>
        <w:spacing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b/>
          <w:kern w:val="1"/>
          <w:sz w:val="24"/>
          <w:szCs w:val="24"/>
          <w:lang w:eastAsia="es-CO"/>
        </w:rPr>
        <w:t xml:space="preserve">Accidente de tránsito: </w:t>
      </w:r>
      <w:r>
        <w:rPr>
          <w:rFonts w:asciiTheme="minorHAnsi" w:hAnsiTheme="minorHAnsi" w:cstheme="minorHAnsi"/>
          <w:kern w:val="1"/>
          <w:sz w:val="24"/>
          <w:szCs w:val="24"/>
          <w:lang w:eastAsia="es-CO"/>
        </w:rPr>
        <w:t>Evento generalmente involuntario, generado al menos por un vehículo en movimiento, que causa daños a personas y bienes involucrados en él, e igualmente afecta la normal circulación de los vehículos que se movilizan por la vía o vías comprendidas en el lugar o dentro de la zona de influencia del hecho (CNTT, 2002).</w:t>
      </w:r>
    </w:p>
    <w:p w14:paraId="7D47489D">
      <w:pPr>
        <w:suppressAutoHyphens/>
        <w:spacing w:line="276" w:lineRule="auto"/>
        <w:ind w:left="540"/>
        <w:rPr>
          <w:rFonts w:eastAsia="Calibri" w:asciiTheme="minorHAnsi" w:hAnsiTheme="minorHAnsi" w:cstheme="minorHAnsi"/>
          <w:kern w:val="1"/>
          <w:sz w:val="24"/>
          <w:szCs w:val="24"/>
          <w:lang w:val="es-VE" w:eastAsia="en-US"/>
        </w:rPr>
      </w:pPr>
    </w:p>
    <w:p w14:paraId="32B99803">
      <w:pPr>
        <w:numPr>
          <w:ilvl w:val="0"/>
          <w:numId w:val="3"/>
        </w:numPr>
        <w:suppressAutoHyphens/>
        <w:spacing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b/>
          <w:kern w:val="1"/>
          <w:sz w:val="24"/>
          <w:szCs w:val="24"/>
          <w:lang w:eastAsia="es-CO"/>
        </w:rPr>
        <w:t>Adelantamiento:</w:t>
      </w:r>
      <w:r>
        <w:rPr>
          <w:rFonts w:asciiTheme="minorHAnsi" w:hAnsiTheme="minorHAnsi" w:eastAsiaTheme="minorEastAsia" w:cstheme="minorHAnsi"/>
          <w:b/>
          <w:sz w:val="24"/>
          <w:szCs w:val="24"/>
          <w:lang w:eastAsia="es-CO"/>
        </w:rPr>
        <w:t xml:space="preserve"> </w:t>
      </w:r>
      <w:r>
        <w:rPr>
          <w:rFonts w:asciiTheme="minorHAnsi" w:hAnsiTheme="minorHAnsi" w:cstheme="minorHAnsi"/>
          <w:kern w:val="1"/>
          <w:sz w:val="24"/>
          <w:szCs w:val="24"/>
          <w:lang w:eastAsia="es-CO"/>
        </w:rPr>
        <w:t>Maniobra mediante la cual un vehículo se pone delante de otro vehículo que lo antecede en el mismo carril de una calzada.</w:t>
      </w:r>
      <w:r>
        <w:rPr>
          <w:rFonts w:asciiTheme="minorHAnsi" w:hAnsiTheme="minorHAnsi" w:cstheme="minorHAnsi"/>
          <w:sz w:val="24"/>
          <w:szCs w:val="24"/>
        </w:rPr>
        <w:t xml:space="preserve"> </w:t>
      </w:r>
    </w:p>
    <w:p w14:paraId="15097100">
      <w:pPr>
        <w:suppressAutoHyphens/>
        <w:spacing w:line="276" w:lineRule="auto"/>
        <w:ind w:left="540"/>
        <w:rPr>
          <w:rFonts w:eastAsia="Calibri" w:asciiTheme="minorHAnsi" w:hAnsiTheme="minorHAnsi" w:cstheme="minorHAnsi"/>
          <w:kern w:val="1"/>
          <w:sz w:val="24"/>
          <w:szCs w:val="24"/>
          <w:lang w:val="es-VE" w:eastAsia="en-US"/>
        </w:rPr>
      </w:pPr>
    </w:p>
    <w:p w14:paraId="2640D289">
      <w:pPr>
        <w:numPr>
          <w:ilvl w:val="0"/>
          <w:numId w:val="3"/>
        </w:numPr>
        <w:suppressAutoHyphens/>
        <w:spacing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b/>
          <w:kern w:val="1"/>
          <w:sz w:val="24"/>
          <w:szCs w:val="24"/>
          <w:lang w:eastAsia="es-CO"/>
        </w:rPr>
        <w:t>Alcoholemia:</w:t>
      </w:r>
      <w:r>
        <w:rPr>
          <w:rFonts w:asciiTheme="minorHAnsi" w:hAnsiTheme="minorHAnsi" w:eastAsiaTheme="minorEastAsia" w:cstheme="minorHAnsi"/>
          <w:b/>
          <w:sz w:val="24"/>
          <w:szCs w:val="24"/>
          <w:lang w:eastAsia="es-CO"/>
        </w:rPr>
        <w:t xml:space="preserve"> </w:t>
      </w:r>
      <w:r>
        <w:rPr>
          <w:rFonts w:asciiTheme="minorHAnsi" w:hAnsiTheme="minorHAnsi" w:cstheme="minorHAnsi"/>
          <w:kern w:val="1"/>
          <w:sz w:val="24"/>
          <w:szCs w:val="24"/>
          <w:lang w:eastAsia="es-CO"/>
        </w:rPr>
        <w:t>Cantidad de alcohol que tiene una persona en determinado momento en su sangre.</w:t>
      </w:r>
      <w:r>
        <w:rPr>
          <w:rFonts w:asciiTheme="minorHAnsi" w:hAnsiTheme="minorHAnsi" w:cstheme="minorHAnsi"/>
          <w:sz w:val="24"/>
          <w:szCs w:val="24"/>
        </w:rPr>
        <w:t xml:space="preserve"> </w:t>
      </w:r>
    </w:p>
    <w:p w14:paraId="1FD99AD4">
      <w:pPr>
        <w:suppressAutoHyphens/>
        <w:spacing w:line="276" w:lineRule="auto"/>
        <w:rPr>
          <w:rFonts w:eastAsia="Calibri" w:asciiTheme="minorHAnsi" w:hAnsiTheme="minorHAnsi" w:cstheme="minorHAnsi"/>
          <w:kern w:val="1"/>
          <w:sz w:val="24"/>
          <w:szCs w:val="24"/>
          <w:lang w:val="es-VE" w:eastAsia="en-US"/>
        </w:rPr>
      </w:pPr>
    </w:p>
    <w:p w14:paraId="34D39ED6">
      <w:pPr>
        <w:numPr>
          <w:ilvl w:val="0"/>
          <w:numId w:val="3"/>
        </w:numPr>
        <w:suppressAutoHyphens/>
        <w:spacing w:line="276" w:lineRule="auto"/>
        <w:ind w:left="540" w:hanging="540"/>
        <w:rPr>
          <w:rFonts w:asciiTheme="minorHAnsi" w:hAnsiTheme="minorHAnsi" w:cstheme="minorHAnsi"/>
          <w:kern w:val="1"/>
          <w:sz w:val="24"/>
          <w:szCs w:val="24"/>
          <w:lang w:eastAsia="es-CO"/>
        </w:rPr>
      </w:pPr>
      <w:r>
        <w:rPr>
          <w:rFonts w:asciiTheme="minorHAnsi" w:hAnsiTheme="minorHAnsi" w:cstheme="minorHAnsi"/>
          <w:b/>
          <w:kern w:val="1"/>
          <w:sz w:val="24"/>
          <w:szCs w:val="24"/>
          <w:lang w:eastAsia="es-CO"/>
        </w:rPr>
        <w:t>Alcoholimetría:</w:t>
      </w:r>
      <w:r>
        <w:rPr>
          <w:rFonts w:asciiTheme="minorHAnsi" w:hAnsiTheme="minorHAnsi" w:cstheme="minorHAnsi"/>
          <w:b/>
          <w:sz w:val="24"/>
          <w:szCs w:val="24"/>
        </w:rPr>
        <w:t xml:space="preserve"> </w:t>
      </w:r>
      <w:r>
        <w:rPr>
          <w:rFonts w:asciiTheme="minorHAnsi" w:hAnsiTheme="minorHAnsi" w:cstheme="minorHAnsi"/>
          <w:kern w:val="1"/>
          <w:sz w:val="24"/>
          <w:szCs w:val="24"/>
          <w:lang w:eastAsia="es-CO"/>
        </w:rPr>
        <w:t>Examen o prueba de laboratorio, o por medio técnico que determina el nivel de alcohol etílico en la sangre.</w:t>
      </w:r>
    </w:p>
    <w:p w14:paraId="358141EC">
      <w:pPr>
        <w:pStyle w:val="51"/>
        <w:rPr>
          <w:rFonts w:ascii="Cambria" w:hAnsi="Cambria"/>
          <w:b/>
          <w:bCs/>
        </w:rPr>
      </w:pPr>
    </w:p>
    <w:p w14:paraId="4049E2F5">
      <w:pPr>
        <w:numPr>
          <w:ilvl w:val="0"/>
          <w:numId w:val="3"/>
        </w:numPr>
        <w:suppressAutoHyphens/>
        <w:spacing w:line="276" w:lineRule="auto"/>
        <w:ind w:left="540" w:hanging="540"/>
        <w:rPr>
          <w:rFonts w:asciiTheme="minorHAnsi" w:hAnsiTheme="minorHAnsi" w:cstheme="minorHAnsi"/>
          <w:color w:val="00B050"/>
          <w:kern w:val="1"/>
          <w:sz w:val="24"/>
          <w:szCs w:val="24"/>
          <w:lang w:eastAsia="es-CO"/>
        </w:rPr>
      </w:pPr>
      <w:r>
        <w:rPr>
          <w:rFonts w:asciiTheme="minorHAnsi" w:hAnsiTheme="minorHAnsi" w:cstheme="minorHAnsi"/>
          <w:b/>
          <w:color w:val="00B050"/>
          <w:kern w:val="1"/>
          <w:sz w:val="24"/>
          <w:szCs w:val="24"/>
          <w:lang w:eastAsia="es-CO"/>
        </w:rPr>
        <w:t>Colaborador (para efectos del PESV)</w:t>
      </w:r>
      <w:r>
        <w:rPr>
          <w:rFonts w:ascii="Cambria" w:hAnsi="Cambria"/>
          <w:b/>
          <w:bCs/>
          <w:color w:val="00B050"/>
        </w:rPr>
        <w:t xml:space="preserve">: </w:t>
      </w:r>
      <w:r>
        <w:rPr>
          <w:rFonts w:asciiTheme="minorHAnsi" w:hAnsiTheme="minorHAnsi" w:cstheme="minorHAnsi"/>
          <w:color w:val="00B050"/>
          <w:kern w:val="1"/>
          <w:sz w:val="24"/>
          <w:szCs w:val="24"/>
          <w:lang w:eastAsia="es-CO"/>
        </w:rPr>
        <w:t>son todos los trabajadores independientemente de su forma de vinculación o contratación, los empleados, contratistas, afiliados, o personas vinculadas mediante tercerización, subcontratación, outsourcing o por intermediación laboral de manera permanente u ocasional, que realizan funciones para los diferentes procesos de la empresa (Res. 40595 de 2022).</w:t>
      </w:r>
    </w:p>
    <w:p w14:paraId="5E77345B">
      <w:pPr>
        <w:suppressAutoHyphens/>
        <w:spacing w:line="276" w:lineRule="auto"/>
        <w:ind w:left="540"/>
        <w:rPr>
          <w:rFonts w:asciiTheme="minorHAnsi" w:hAnsiTheme="minorHAnsi" w:cstheme="minorHAnsi"/>
          <w:kern w:val="1"/>
          <w:sz w:val="24"/>
          <w:szCs w:val="24"/>
          <w:lang w:eastAsia="es-CO"/>
        </w:rPr>
      </w:pPr>
    </w:p>
    <w:p w14:paraId="624D484D">
      <w:pPr>
        <w:numPr>
          <w:ilvl w:val="0"/>
          <w:numId w:val="3"/>
        </w:numPr>
        <w:suppressAutoHyphens/>
        <w:spacing w:line="276" w:lineRule="auto"/>
        <w:ind w:left="540" w:hanging="540"/>
        <w:rPr>
          <w:rFonts w:asciiTheme="minorHAnsi" w:hAnsiTheme="minorHAnsi" w:cstheme="minorHAnsi"/>
          <w:kern w:val="1"/>
          <w:sz w:val="24"/>
          <w:szCs w:val="24"/>
          <w:lang w:eastAsia="es-CO"/>
        </w:rPr>
      </w:pPr>
      <w:r>
        <w:rPr>
          <w:rFonts w:asciiTheme="minorHAnsi" w:hAnsiTheme="minorHAnsi" w:cstheme="minorHAnsi"/>
          <w:b/>
          <w:kern w:val="1"/>
          <w:sz w:val="24"/>
          <w:szCs w:val="24"/>
          <w:lang w:eastAsia="es-CO"/>
        </w:rPr>
        <w:t xml:space="preserve">Comparendo: </w:t>
      </w:r>
      <w:r>
        <w:rPr>
          <w:rFonts w:asciiTheme="minorHAnsi" w:hAnsiTheme="minorHAnsi" w:cstheme="minorHAnsi"/>
          <w:kern w:val="1"/>
          <w:sz w:val="24"/>
          <w:szCs w:val="24"/>
          <w:lang w:eastAsia="es-CO"/>
        </w:rPr>
        <w:t>Orden formal de notificación para que el presunto contraventor o implicado se presente ante la autoridad de tránsito por la comisión de una infracción.</w:t>
      </w:r>
      <w:r>
        <w:rPr>
          <w:rFonts w:asciiTheme="minorHAnsi" w:hAnsiTheme="minorHAnsi" w:cstheme="minorHAnsi"/>
          <w:b/>
          <w:sz w:val="24"/>
          <w:szCs w:val="24"/>
        </w:rPr>
        <w:t xml:space="preserve"> </w:t>
      </w:r>
    </w:p>
    <w:p w14:paraId="49DB9A46">
      <w:pPr>
        <w:spacing w:line="276" w:lineRule="auto"/>
        <w:rPr>
          <w:rFonts w:asciiTheme="minorHAnsi" w:hAnsiTheme="minorHAnsi" w:cstheme="minorHAnsi"/>
          <w:b/>
          <w:sz w:val="24"/>
          <w:szCs w:val="24"/>
        </w:rPr>
      </w:pPr>
    </w:p>
    <w:p w14:paraId="6BD9F4D2">
      <w:pPr>
        <w:numPr>
          <w:ilvl w:val="0"/>
          <w:numId w:val="3"/>
        </w:numPr>
        <w:suppressAutoHyphens/>
        <w:spacing w:line="276" w:lineRule="auto"/>
        <w:ind w:left="540" w:hanging="540"/>
        <w:rPr>
          <w:rFonts w:asciiTheme="minorHAnsi" w:hAnsiTheme="minorHAnsi" w:cstheme="minorHAnsi"/>
          <w:color w:val="00B050"/>
          <w:kern w:val="1"/>
          <w:sz w:val="24"/>
          <w:szCs w:val="24"/>
          <w:lang w:eastAsia="es-CO"/>
        </w:rPr>
      </w:pPr>
      <w:r>
        <w:rPr>
          <w:rFonts w:asciiTheme="minorHAnsi" w:hAnsiTheme="minorHAnsi" w:cstheme="minorHAnsi"/>
          <w:b/>
          <w:bCs/>
          <w:color w:val="00B050"/>
          <w:kern w:val="1"/>
          <w:sz w:val="24"/>
          <w:szCs w:val="24"/>
          <w:lang w:eastAsia="es-CO"/>
        </w:rPr>
        <w:t>Desplazamiento laboral:</w:t>
      </w:r>
      <w:r>
        <w:rPr>
          <w:rFonts w:asciiTheme="minorHAnsi" w:hAnsiTheme="minorHAnsi" w:cstheme="minorHAnsi"/>
          <w:color w:val="00B050"/>
          <w:kern w:val="1"/>
          <w:sz w:val="24"/>
          <w:szCs w:val="24"/>
          <w:lang w:eastAsia="es-CO"/>
        </w:rPr>
        <w:t xml:space="preserve"> son los que desarrollan los colaboradores de la empresa para el cumplimiento de su contrato o funciones en los procesos estratégicos, misionales y de apoyo al servicio de la empresa (Res. 40595 de 2022).</w:t>
      </w:r>
    </w:p>
    <w:p w14:paraId="23920052">
      <w:pPr>
        <w:pStyle w:val="51"/>
        <w:rPr>
          <w:rFonts w:asciiTheme="minorHAnsi" w:hAnsiTheme="minorHAnsi" w:cstheme="minorHAnsi"/>
          <w:b/>
          <w:kern w:val="1"/>
          <w:sz w:val="24"/>
          <w:szCs w:val="24"/>
          <w:lang w:eastAsia="es-CO"/>
        </w:rPr>
      </w:pPr>
    </w:p>
    <w:p w14:paraId="08BA4347">
      <w:pPr>
        <w:numPr>
          <w:ilvl w:val="0"/>
          <w:numId w:val="3"/>
        </w:numPr>
        <w:suppressAutoHyphens/>
        <w:spacing w:line="276" w:lineRule="auto"/>
        <w:ind w:left="540" w:hanging="540"/>
        <w:rPr>
          <w:rFonts w:asciiTheme="minorHAnsi" w:hAnsiTheme="minorHAnsi" w:cstheme="minorHAnsi"/>
          <w:kern w:val="1"/>
          <w:sz w:val="24"/>
          <w:szCs w:val="24"/>
          <w:lang w:eastAsia="es-CO"/>
        </w:rPr>
      </w:pPr>
      <w:r>
        <w:rPr>
          <w:rFonts w:asciiTheme="minorHAnsi" w:hAnsiTheme="minorHAnsi" w:cstheme="minorHAnsi"/>
          <w:b/>
          <w:kern w:val="1"/>
          <w:sz w:val="24"/>
          <w:szCs w:val="24"/>
          <w:lang w:eastAsia="es-CO"/>
        </w:rPr>
        <w:t>Licencia de conducción</w:t>
      </w:r>
      <w:r>
        <w:rPr>
          <w:rFonts w:asciiTheme="minorHAnsi" w:hAnsiTheme="minorHAnsi" w:cstheme="minorHAnsi"/>
          <w:kern w:val="1"/>
          <w:sz w:val="24"/>
          <w:szCs w:val="24"/>
          <w:lang w:eastAsia="es-CO"/>
        </w:rPr>
        <w:t>: Documento público de carácter personal e intransferible expedido por autoridad competente, el cual autoriza a una persona para la conducción de vehículos con validez en todo el territorio nacional.</w:t>
      </w:r>
    </w:p>
    <w:p w14:paraId="007A8058">
      <w:pPr>
        <w:suppressAutoHyphens/>
        <w:spacing w:line="276" w:lineRule="auto"/>
        <w:rPr>
          <w:rFonts w:asciiTheme="minorHAnsi" w:hAnsiTheme="minorHAnsi" w:cstheme="minorHAnsi"/>
          <w:kern w:val="1"/>
          <w:sz w:val="24"/>
          <w:szCs w:val="24"/>
          <w:lang w:eastAsia="es-CO"/>
        </w:rPr>
      </w:pPr>
    </w:p>
    <w:p w14:paraId="6CB3B815">
      <w:pPr>
        <w:suppressAutoHyphens/>
        <w:spacing w:line="276" w:lineRule="auto"/>
        <w:rPr>
          <w:rFonts w:asciiTheme="minorHAnsi" w:hAnsiTheme="minorHAnsi" w:cstheme="minorHAnsi"/>
          <w:b/>
          <w:kern w:val="1"/>
          <w:sz w:val="24"/>
          <w:szCs w:val="24"/>
          <w:lang w:eastAsia="es-CO"/>
        </w:rPr>
      </w:pPr>
      <w:r>
        <w:rPr>
          <w:rFonts w:asciiTheme="minorHAnsi" w:hAnsiTheme="minorHAnsi" w:cstheme="minorHAnsi"/>
          <w:kern w:val="1"/>
          <w:sz w:val="24"/>
          <w:szCs w:val="24"/>
          <w:lang w:eastAsia="es-CO"/>
        </w:rPr>
        <w:t>Categorías de la Licencia de Conducción de vehículos automotores de servicio particular</w:t>
      </w:r>
      <w:r>
        <w:rPr>
          <w:rFonts w:asciiTheme="minorHAnsi" w:hAnsiTheme="minorHAnsi" w:cstheme="minorHAnsi"/>
          <w:b/>
          <w:kern w:val="1"/>
          <w:sz w:val="24"/>
          <w:szCs w:val="24"/>
          <w:lang w:eastAsia="es-CO"/>
        </w:rPr>
        <w:t xml:space="preserve"> </w:t>
      </w:r>
      <w:r>
        <w:rPr>
          <w:rFonts w:asciiTheme="minorHAnsi" w:hAnsiTheme="minorHAnsi" w:cstheme="minorHAnsi"/>
          <w:kern w:val="1"/>
          <w:sz w:val="24"/>
          <w:szCs w:val="24"/>
          <w:lang w:eastAsia="es-CO"/>
        </w:rPr>
        <w:t xml:space="preserve">tendrán las siguientes categorías, subdivididas por nomenclatura: </w:t>
      </w:r>
    </w:p>
    <w:p w14:paraId="45A9EDCC">
      <w:pPr>
        <w:suppressAutoHyphens/>
        <w:spacing w:line="276" w:lineRule="auto"/>
        <w:rPr>
          <w:rFonts w:asciiTheme="minorHAnsi" w:hAnsiTheme="minorHAnsi" w:cstheme="minorHAnsi"/>
          <w:b/>
          <w:kern w:val="1"/>
          <w:sz w:val="24"/>
          <w:szCs w:val="24"/>
          <w:lang w:eastAsia="es-CO"/>
        </w:rPr>
      </w:pPr>
    </w:p>
    <w:p w14:paraId="231481CE">
      <w:pPr>
        <w:suppressAutoHyphens/>
        <w:spacing w:line="276" w:lineRule="auto"/>
        <w:ind w:left="540"/>
        <w:rPr>
          <w:rFonts w:asciiTheme="minorHAnsi" w:hAnsiTheme="minorHAnsi" w:cstheme="minorHAnsi"/>
          <w:kern w:val="1"/>
          <w:sz w:val="24"/>
          <w:szCs w:val="24"/>
          <w:lang w:eastAsia="es-CO"/>
        </w:rPr>
      </w:pPr>
      <w:r>
        <w:rPr>
          <w:rFonts w:asciiTheme="minorHAnsi" w:hAnsiTheme="minorHAnsi" w:cstheme="minorHAnsi"/>
          <w:kern w:val="1"/>
          <w:sz w:val="24"/>
          <w:szCs w:val="24"/>
          <w:lang w:eastAsia="es-CO"/>
        </w:rPr>
        <w:t xml:space="preserve">A1 Para la conducción de motocicletas con cilindrada hasta de 125 c.c. </w:t>
      </w:r>
    </w:p>
    <w:p w14:paraId="64C47561">
      <w:pPr>
        <w:suppressAutoHyphens/>
        <w:spacing w:line="276" w:lineRule="auto"/>
        <w:ind w:left="540"/>
        <w:rPr>
          <w:rFonts w:asciiTheme="minorHAnsi" w:hAnsiTheme="minorHAnsi" w:cstheme="minorHAnsi"/>
          <w:kern w:val="1"/>
          <w:sz w:val="24"/>
          <w:szCs w:val="24"/>
          <w:lang w:eastAsia="es-CO"/>
        </w:rPr>
      </w:pPr>
      <w:r>
        <w:rPr>
          <w:rFonts w:asciiTheme="minorHAnsi" w:hAnsiTheme="minorHAnsi" w:cstheme="minorHAnsi"/>
          <w:kern w:val="1"/>
          <w:sz w:val="24"/>
          <w:szCs w:val="24"/>
          <w:lang w:eastAsia="es-CO"/>
        </w:rPr>
        <w:t xml:space="preserve">A2 Para la conducción de motocicletas, motociclos y moto triciclos con cilindrada mayor a 125 c.c. </w:t>
      </w:r>
    </w:p>
    <w:p w14:paraId="5FD7F742">
      <w:pPr>
        <w:suppressAutoHyphens/>
        <w:spacing w:line="276" w:lineRule="auto"/>
        <w:ind w:left="540"/>
        <w:rPr>
          <w:rFonts w:asciiTheme="minorHAnsi" w:hAnsiTheme="minorHAnsi" w:cstheme="minorHAnsi"/>
          <w:kern w:val="1"/>
          <w:sz w:val="24"/>
          <w:szCs w:val="24"/>
          <w:lang w:eastAsia="es-CO"/>
        </w:rPr>
      </w:pPr>
      <w:r>
        <w:rPr>
          <w:rFonts w:asciiTheme="minorHAnsi" w:hAnsiTheme="minorHAnsi" w:cstheme="minorHAnsi"/>
          <w:kern w:val="1"/>
          <w:sz w:val="24"/>
          <w:szCs w:val="24"/>
          <w:lang w:eastAsia="es-CO"/>
        </w:rPr>
        <w:t xml:space="preserve">B1 Para la conducción de automóviles, motocarros, cuatrimotor, camperos, camionetas y microbuses. </w:t>
      </w:r>
    </w:p>
    <w:p w14:paraId="7B3583D4">
      <w:pPr>
        <w:suppressAutoHyphens/>
        <w:spacing w:line="276" w:lineRule="auto"/>
        <w:ind w:left="540"/>
        <w:rPr>
          <w:rFonts w:asciiTheme="minorHAnsi" w:hAnsiTheme="minorHAnsi" w:cstheme="minorHAnsi"/>
          <w:kern w:val="1"/>
          <w:sz w:val="24"/>
          <w:szCs w:val="24"/>
          <w:lang w:eastAsia="es-CO"/>
        </w:rPr>
      </w:pPr>
      <w:r>
        <w:rPr>
          <w:rFonts w:asciiTheme="minorHAnsi" w:hAnsiTheme="minorHAnsi" w:cstheme="minorHAnsi"/>
          <w:kern w:val="1"/>
          <w:sz w:val="24"/>
          <w:szCs w:val="24"/>
          <w:lang w:eastAsia="es-CO"/>
        </w:rPr>
        <w:t xml:space="preserve">B2 Para la conducción de camiones rígidos, busetas y buses. </w:t>
      </w:r>
    </w:p>
    <w:p w14:paraId="4F0F4896">
      <w:pPr>
        <w:suppressAutoHyphens/>
        <w:spacing w:line="276" w:lineRule="auto"/>
        <w:ind w:left="540"/>
        <w:rPr>
          <w:rFonts w:asciiTheme="minorHAnsi" w:hAnsiTheme="minorHAnsi" w:cstheme="minorHAnsi"/>
          <w:kern w:val="1"/>
          <w:sz w:val="24"/>
          <w:szCs w:val="24"/>
          <w:lang w:eastAsia="es-CO"/>
        </w:rPr>
      </w:pPr>
      <w:r>
        <w:rPr>
          <w:rFonts w:asciiTheme="minorHAnsi" w:hAnsiTheme="minorHAnsi" w:cstheme="minorHAnsi"/>
          <w:kern w:val="1"/>
          <w:sz w:val="24"/>
          <w:szCs w:val="24"/>
          <w:lang w:eastAsia="es-CO"/>
        </w:rPr>
        <w:t xml:space="preserve">B3 Para la conducción de vehículos articulados. </w:t>
      </w:r>
    </w:p>
    <w:p w14:paraId="186083FA">
      <w:pPr>
        <w:suppressAutoHyphens/>
        <w:spacing w:line="276" w:lineRule="auto"/>
        <w:ind w:left="540"/>
        <w:rPr>
          <w:rFonts w:asciiTheme="minorHAnsi" w:hAnsiTheme="minorHAnsi" w:cstheme="minorHAnsi"/>
          <w:kern w:val="1"/>
          <w:sz w:val="24"/>
          <w:szCs w:val="24"/>
          <w:lang w:eastAsia="es-CO"/>
        </w:rPr>
      </w:pPr>
    </w:p>
    <w:p w14:paraId="49B3CD5C">
      <w:pPr>
        <w:suppressAutoHyphens/>
        <w:spacing w:line="276" w:lineRule="auto"/>
        <w:rPr>
          <w:rFonts w:asciiTheme="minorHAnsi" w:hAnsiTheme="minorHAnsi" w:cstheme="minorHAnsi"/>
          <w:kern w:val="1"/>
          <w:sz w:val="24"/>
          <w:szCs w:val="24"/>
          <w:lang w:eastAsia="es-CO"/>
        </w:rPr>
      </w:pPr>
      <w:r>
        <w:rPr>
          <w:rFonts w:asciiTheme="minorHAnsi" w:hAnsiTheme="minorHAnsi" w:cstheme="minorHAnsi"/>
          <w:kern w:val="1"/>
          <w:sz w:val="24"/>
          <w:szCs w:val="24"/>
          <w:lang w:eastAsia="es-CO"/>
        </w:rPr>
        <w:t xml:space="preserve">Categorías de las Licencias de Conducción de vehículos automotores de servicio público tendrán las siguientes categorías, dentro de una nomenclatura única: </w:t>
      </w:r>
    </w:p>
    <w:p w14:paraId="11DA1D77">
      <w:pPr>
        <w:suppressAutoHyphens/>
        <w:spacing w:line="276" w:lineRule="auto"/>
        <w:ind w:left="540"/>
        <w:rPr>
          <w:rFonts w:asciiTheme="minorHAnsi" w:hAnsiTheme="minorHAnsi" w:cstheme="minorHAnsi"/>
          <w:kern w:val="1"/>
          <w:sz w:val="24"/>
          <w:szCs w:val="24"/>
          <w:lang w:eastAsia="es-CO"/>
        </w:rPr>
      </w:pPr>
    </w:p>
    <w:p w14:paraId="77A905F0">
      <w:pPr>
        <w:suppressAutoHyphens/>
        <w:spacing w:line="276" w:lineRule="auto"/>
        <w:ind w:left="540"/>
        <w:rPr>
          <w:rFonts w:asciiTheme="minorHAnsi" w:hAnsiTheme="minorHAnsi" w:cstheme="minorHAnsi"/>
          <w:kern w:val="1"/>
          <w:sz w:val="24"/>
          <w:szCs w:val="24"/>
          <w:lang w:eastAsia="es-CO"/>
        </w:rPr>
      </w:pPr>
      <w:r>
        <w:rPr>
          <w:rFonts w:asciiTheme="minorHAnsi" w:hAnsiTheme="minorHAnsi" w:cstheme="minorHAnsi"/>
          <w:kern w:val="1"/>
          <w:sz w:val="24"/>
          <w:szCs w:val="24"/>
          <w:lang w:eastAsia="es-CO"/>
        </w:rPr>
        <w:t xml:space="preserve">C1 Para la conducción de automóviles, camperos, camionetas y microbuses. </w:t>
      </w:r>
    </w:p>
    <w:p w14:paraId="2A55D2BB">
      <w:pPr>
        <w:suppressAutoHyphens/>
        <w:spacing w:line="276" w:lineRule="auto"/>
        <w:ind w:left="540"/>
        <w:rPr>
          <w:rFonts w:asciiTheme="minorHAnsi" w:hAnsiTheme="minorHAnsi" w:cstheme="minorHAnsi"/>
          <w:kern w:val="1"/>
          <w:sz w:val="24"/>
          <w:szCs w:val="24"/>
          <w:lang w:eastAsia="es-CO"/>
        </w:rPr>
      </w:pPr>
      <w:r>
        <w:rPr>
          <w:rFonts w:asciiTheme="minorHAnsi" w:hAnsiTheme="minorHAnsi" w:cstheme="minorHAnsi"/>
          <w:kern w:val="1"/>
          <w:sz w:val="24"/>
          <w:szCs w:val="24"/>
          <w:lang w:eastAsia="es-CO"/>
        </w:rPr>
        <w:t xml:space="preserve">C2 Para la conducción de camiones rígidos, busetas y buses. </w:t>
      </w:r>
    </w:p>
    <w:p w14:paraId="3982243B">
      <w:pPr>
        <w:suppressAutoHyphens/>
        <w:spacing w:line="276" w:lineRule="auto"/>
        <w:ind w:left="540"/>
        <w:rPr>
          <w:rFonts w:asciiTheme="minorHAnsi" w:hAnsiTheme="minorHAnsi" w:cstheme="minorHAnsi"/>
          <w:kern w:val="1"/>
          <w:sz w:val="24"/>
          <w:szCs w:val="24"/>
          <w:lang w:eastAsia="es-CO"/>
        </w:rPr>
      </w:pPr>
      <w:r>
        <w:rPr>
          <w:rFonts w:asciiTheme="minorHAnsi" w:hAnsiTheme="minorHAnsi" w:cstheme="minorHAnsi"/>
          <w:kern w:val="1"/>
          <w:sz w:val="24"/>
          <w:szCs w:val="24"/>
          <w:lang w:eastAsia="es-CO"/>
        </w:rPr>
        <w:t>C3 Para la conducción de vehículos articulados.</w:t>
      </w:r>
    </w:p>
    <w:p w14:paraId="50B4AC2C">
      <w:pPr>
        <w:suppressAutoHyphens/>
        <w:spacing w:line="276" w:lineRule="auto"/>
        <w:ind w:left="540"/>
        <w:rPr>
          <w:rFonts w:asciiTheme="minorHAnsi" w:hAnsiTheme="minorHAnsi" w:cstheme="minorHAnsi"/>
          <w:kern w:val="1"/>
          <w:sz w:val="24"/>
          <w:szCs w:val="24"/>
          <w:lang w:eastAsia="es-CO"/>
        </w:rPr>
      </w:pPr>
    </w:p>
    <w:p w14:paraId="3E3DEB6D">
      <w:pPr>
        <w:numPr>
          <w:ilvl w:val="0"/>
          <w:numId w:val="3"/>
        </w:numPr>
        <w:tabs>
          <w:tab w:val="clear" w:pos="0"/>
        </w:tabs>
        <w:suppressAutoHyphens/>
        <w:spacing w:line="276" w:lineRule="auto"/>
        <w:ind w:left="540" w:hanging="540"/>
        <w:rPr>
          <w:rFonts w:asciiTheme="minorHAnsi" w:hAnsiTheme="minorHAnsi" w:cstheme="minorHAnsi"/>
          <w:kern w:val="1"/>
          <w:sz w:val="24"/>
          <w:szCs w:val="24"/>
          <w:lang w:eastAsia="es-CO"/>
        </w:rPr>
      </w:pPr>
      <w:r>
        <w:rPr>
          <w:rFonts w:asciiTheme="minorHAnsi" w:hAnsiTheme="minorHAnsi" w:cstheme="minorHAnsi"/>
          <w:b/>
          <w:kern w:val="1"/>
          <w:sz w:val="24"/>
          <w:szCs w:val="24"/>
          <w:lang w:eastAsia="es-CO"/>
        </w:rPr>
        <w:t>Embriaguez:</w:t>
      </w:r>
      <w:r>
        <w:rPr>
          <w:rFonts w:asciiTheme="minorHAnsi" w:hAnsiTheme="minorHAnsi" w:cstheme="minorHAnsi"/>
          <w:kern w:val="1"/>
          <w:sz w:val="24"/>
          <w:szCs w:val="24"/>
          <w:lang w:eastAsia="es-CO"/>
        </w:rPr>
        <w:t xml:space="preserve"> Estado de alteración transitoria de las condiciones físicas y mentales, causada por intoxicación aguda que no permite una adecuada realización de actividades de riesgo. </w:t>
      </w:r>
    </w:p>
    <w:p w14:paraId="687D8D76">
      <w:pPr>
        <w:suppressAutoHyphens/>
        <w:spacing w:line="276" w:lineRule="auto"/>
        <w:ind w:left="540"/>
        <w:rPr>
          <w:rFonts w:asciiTheme="minorHAnsi" w:hAnsiTheme="minorHAnsi" w:cstheme="minorHAnsi"/>
          <w:kern w:val="1"/>
          <w:sz w:val="24"/>
          <w:szCs w:val="24"/>
          <w:lang w:eastAsia="es-CO"/>
        </w:rPr>
      </w:pPr>
    </w:p>
    <w:p w14:paraId="33A8D20B">
      <w:pPr>
        <w:numPr>
          <w:ilvl w:val="0"/>
          <w:numId w:val="3"/>
        </w:numPr>
        <w:tabs>
          <w:tab w:val="clear" w:pos="0"/>
        </w:tabs>
        <w:suppressAutoHyphens/>
        <w:spacing w:line="276" w:lineRule="auto"/>
        <w:ind w:left="540" w:hanging="540"/>
        <w:rPr>
          <w:rFonts w:asciiTheme="minorHAnsi" w:hAnsiTheme="minorHAnsi" w:cstheme="minorHAnsi"/>
          <w:kern w:val="1"/>
          <w:sz w:val="24"/>
          <w:szCs w:val="24"/>
          <w:lang w:eastAsia="es-CO"/>
        </w:rPr>
      </w:pPr>
      <w:r>
        <w:rPr>
          <w:rFonts w:asciiTheme="minorHAnsi" w:hAnsiTheme="minorHAnsi" w:cstheme="minorHAnsi"/>
          <w:b/>
          <w:kern w:val="1"/>
          <w:sz w:val="24"/>
          <w:szCs w:val="24"/>
          <w:lang w:eastAsia="es-CO"/>
        </w:rPr>
        <w:t>Infracción:</w:t>
      </w:r>
      <w:r>
        <w:rPr>
          <w:rFonts w:asciiTheme="minorHAnsi" w:hAnsiTheme="minorHAnsi" w:cstheme="minorHAnsi"/>
          <w:kern w:val="1"/>
          <w:sz w:val="24"/>
          <w:szCs w:val="24"/>
          <w:lang w:eastAsia="es-CO"/>
        </w:rPr>
        <w:t xml:space="preserve"> Transgresión o violación de una norma de tránsito. Habrá dos tipos de infracciones: simple y compleja. Será simple cuando se trate de violación de la norma. Será compleja si se produce un daño material.</w:t>
      </w:r>
    </w:p>
    <w:p w14:paraId="6E8EB23B">
      <w:pPr>
        <w:suppressAutoHyphens/>
        <w:spacing w:line="276" w:lineRule="auto"/>
        <w:rPr>
          <w:rFonts w:asciiTheme="minorHAnsi" w:hAnsiTheme="minorHAnsi" w:cstheme="minorHAnsi"/>
          <w:kern w:val="1"/>
          <w:sz w:val="24"/>
          <w:szCs w:val="24"/>
          <w:lang w:eastAsia="es-CO"/>
        </w:rPr>
      </w:pPr>
    </w:p>
    <w:p w14:paraId="73587126">
      <w:pPr>
        <w:numPr>
          <w:ilvl w:val="0"/>
          <w:numId w:val="3"/>
        </w:numPr>
        <w:tabs>
          <w:tab w:val="clear" w:pos="0"/>
        </w:tabs>
        <w:suppressAutoHyphens/>
        <w:spacing w:line="276" w:lineRule="auto"/>
        <w:ind w:left="540" w:hanging="540"/>
        <w:rPr>
          <w:rFonts w:asciiTheme="minorHAnsi" w:hAnsiTheme="minorHAnsi" w:cstheme="minorHAnsi"/>
          <w:kern w:val="1"/>
          <w:sz w:val="24"/>
          <w:szCs w:val="24"/>
          <w:lang w:eastAsia="es-CO"/>
        </w:rPr>
      </w:pPr>
      <w:r>
        <w:rPr>
          <w:rFonts w:asciiTheme="minorHAnsi" w:hAnsiTheme="minorHAnsi" w:cstheme="minorHAnsi"/>
          <w:b/>
          <w:kern w:val="1"/>
          <w:sz w:val="24"/>
          <w:szCs w:val="24"/>
          <w:lang w:eastAsia="es-CO"/>
        </w:rPr>
        <w:t>Inspección</w:t>
      </w:r>
      <w:r>
        <w:rPr>
          <w:rFonts w:asciiTheme="minorHAnsi" w:hAnsiTheme="minorHAnsi" w:cstheme="minorHAnsi"/>
          <w:kern w:val="1"/>
          <w:sz w:val="24"/>
          <w:szCs w:val="24"/>
          <w:lang w:eastAsia="es-CO"/>
        </w:rPr>
        <w:t>: Es UN instrumento que busca la prevención de riesgos en el puesto de trabajo, previniendo posibles enfermedades Profesionales y Accidentes de Trabajo identificando Condiciones Inseguras.</w:t>
      </w:r>
    </w:p>
    <w:p w14:paraId="22F9B86A">
      <w:pPr>
        <w:spacing w:line="276" w:lineRule="auto"/>
        <w:rPr>
          <w:rFonts w:asciiTheme="minorHAnsi" w:hAnsiTheme="minorHAnsi" w:cstheme="minorHAnsi"/>
          <w:b/>
          <w:color w:val="000000"/>
          <w:sz w:val="24"/>
          <w:szCs w:val="24"/>
        </w:rPr>
      </w:pPr>
    </w:p>
    <w:p w14:paraId="61248CDA">
      <w:pPr>
        <w:numPr>
          <w:ilvl w:val="0"/>
          <w:numId w:val="3"/>
        </w:numPr>
        <w:tabs>
          <w:tab w:val="clear" w:pos="0"/>
        </w:tabs>
        <w:suppressAutoHyphens/>
        <w:spacing w:line="276" w:lineRule="auto"/>
        <w:ind w:left="540" w:hanging="540"/>
        <w:rPr>
          <w:rFonts w:asciiTheme="minorHAnsi" w:hAnsiTheme="minorHAnsi" w:cstheme="minorHAnsi"/>
          <w:kern w:val="1"/>
          <w:sz w:val="24"/>
          <w:szCs w:val="24"/>
          <w:lang w:eastAsia="es-CO"/>
        </w:rPr>
      </w:pPr>
      <w:r>
        <w:rPr>
          <w:rFonts w:asciiTheme="minorHAnsi" w:hAnsiTheme="minorHAnsi" w:cstheme="minorHAnsi"/>
          <w:b/>
          <w:kern w:val="1"/>
          <w:sz w:val="24"/>
          <w:szCs w:val="24"/>
          <w:lang w:eastAsia="es-CO"/>
        </w:rPr>
        <w:t>Señal de tránsito</w:t>
      </w:r>
      <w:r>
        <w:rPr>
          <w:rFonts w:asciiTheme="minorHAnsi" w:hAnsiTheme="minorHAnsi" w:cstheme="minorHAnsi"/>
          <w:kern w:val="1"/>
          <w:sz w:val="24"/>
          <w:szCs w:val="24"/>
          <w:lang w:eastAsia="es-CO"/>
        </w:rPr>
        <w:t xml:space="preserve">: Dispositivo físico o marca especial. Preventiva y reglamentaria e informativa, que indica la forma correcta como deben transitar los usuarios de las vías. </w:t>
      </w:r>
    </w:p>
    <w:p w14:paraId="523C78F0">
      <w:pPr>
        <w:suppressAutoHyphens/>
        <w:spacing w:line="276" w:lineRule="auto"/>
        <w:rPr>
          <w:rFonts w:asciiTheme="minorHAnsi" w:hAnsiTheme="minorHAnsi" w:cstheme="minorHAnsi"/>
          <w:kern w:val="1"/>
          <w:sz w:val="24"/>
          <w:szCs w:val="24"/>
          <w:lang w:eastAsia="es-CO"/>
        </w:rPr>
      </w:pPr>
    </w:p>
    <w:p w14:paraId="74F85EAF">
      <w:pPr>
        <w:numPr>
          <w:ilvl w:val="0"/>
          <w:numId w:val="3"/>
        </w:numPr>
        <w:tabs>
          <w:tab w:val="clear" w:pos="0"/>
        </w:tabs>
        <w:suppressAutoHyphens/>
        <w:spacing w:line="276" w:lineRule="auto"/>
        <w:ind w:left="540" w:hanging="540"/>
        <w:rPr>
          <w:rFonts w:asciiTheme="minorHAnsi" w:hAnsiTheme="minorHAnsi" w:cstheme="minorHAnsi"/>
          <w:kern w:val="1"/>
          <w:sz w:val="24"/>
          <w:szCs w:val="24"/>
          <w:lang w:eastAsia="es-CO"/>
        </w:rPr>
      </w:pPr>
      <w:r>
        <w:rPr>
          <w:rFonts w:asciiTheme="minorHAnsi" w:hAnsiTheme="minorHAnsi" w:cstheme="minorHAnsi"/>
          <w:b/>
          <w:kern w:val="1"/>
          <w:sz w:val="24"/>
          <w:szCs w:val="24"/>
          <w:lang w:eastAsia="es-CO"/>
        </w:rPr>
        <w:t xml:space="preserve">Marcas viales: </w:t>
      </w:r>
      <w:r>
        <w:rPr>
          <w:rFonts w:asciiTheme="minorHAnsi" w:hAnsiTheme="minorHAnsi" w:cstheme="minorHAnsi"/>
          <w:kern w:val="1"/>
          <w:sz w:val="24"/>
          <w:szCs w:val="24"/>
          <w:lang w:eastAsia="es-CO"/>
        </w:rPr>
        <w:t>Señales escritas adheridas o grabadas en la vía o con elementos adyacentes a ella, para indicar, advertir o guiar el tránsito.</w:t>
      </w:r>
    </w:p>
    <w:p w14:paraId="7755550F">
      <w:pPr>
        <w:spacing w:line="276" w:lineRule="auto"/>
        <w:rPr>
          <w:rFonts w:asciiTheme="minorHAnsi" w:hAnsiTheme="minorHAnsi" w:cstheme="minorHAnsi"/>
          <w:kern w:val="1"/>
          <w:sz w:val="24"/>
          <w:szCs w:val="24"/>
          <w:lang w:eastAsia="es-CO"/>
        </w:rPr>
      </w:pPr>
    </w:p>
    <w:p w14:paraId="32BF2A7B">
      <w:pPr>
        <w:numPr>
          <w:ilvl w:val="0"/>
          <w:numId w:val="3"/>
        </w:numPr>
        <w:tabs>
          <w:tab w:val="clear" w:pos="0"/>
        </w:tabs>
        <w:suppressAutoHyphens/>
        <w:spacing w:line="276" w:lineRule="auto"/>
        <w:ind w:left="540" w:hanging="540"/>
        <w:rPr>
          <w:rFonts w:asciiTheme="minorHAnsi" w:hAnsiTheme="minorHAnsi" w:cstheme="minorHAnsi"/>
          <w:kern w:val="1"/>
          <w:sz w:val="24"/>
          <w:szCs w:val="24"/>
          <w:lang w:eastAsia="es-CO"/>
        </w:rPr>
      </w:pPr>
      <w:r>
        <w:rPr>
          <w:rFonts w:asciiTheme="minorHAnsi" w:hAnsiTheme="minorHAnsi" w:cstheme="minorHAnsi"/>
          <w:b/>
          <w:kern w:val="1"/>
          <w:sz w:val="24"/>
          <w:szCs w:val="24"/>
          <w:lang w:eastAsia="es-CO"/>
        </w:rPr>
        <w:t xml:space="preserve">Cinturón de seguridad: </w:t>
      </w:r>
      <w:r>
        <w:rPr>
          <w:rFonts w:asciiTheme="minorHAnsi" w:hAnsiTheme="minorHAnsi" w:cstheme="minorHAnsi"/>
          <w:kern w:val="1"/>
          <w:sz w:val="24"/>
          <w:szCs w:val="24"/>
          <w:lang w:eastAsia="es-CO"/>
        </w:rPr>
        <w:t>Conjunto de tiras, provisto de hebilla de cierre, dispositivos de ajuste y de unión, cuyo fin es sujetar a los ocupantes al asiento del vehículo, para prevenir que se golpeen cuando suceda una aceleración, desaceleración súbita o volcamiento.</w:t>
      </w:r>
    </w:p>
    <w:p w14:paraId="6ACD76ED">
      <w:pPr>
        <w:pStyle w:val="51"/>
        <w:rPr>
          <w:rFonts w:asciiTheme="minorHAnsi" w:hAnsiTheme="minorHAnsi" w:cstheme="minorHAnsi"/>
          <w:b/>
          <w:kern w:val="1"/>
          <w:sz w:val="24"/>
          <w:szCs w:val="24"/>
        </w:rPr>
      </w:pPr>
    </w:p>
    <w:p w14:paraId="71A86AFA">
      <w:pPr>
        <w:numPr>
          <w:ilvl w:val="0"/>
          <w:numId w:val="3"/>
        </w:numPr>
        <w:tabs>
          <w:tab w:val="clear" w:pos="0"/>
        </w:tabs>
        <w:suppressAutoHyphens/>
        <w:spacing w:line="276" w:lineRule="auto"/>
        <w:ind w:left="540" w:hanging="540"/>
        <w:rPr>
          <w:rFonts w:asciiTheme="minorHAnsi" w:hAnsiTheme="minorHAnsi" w:cstheme="minorHAnsi"/>
          <w:color w:val="00B050"/>
          <w:kern w:val="1"/>
          <w:sz w:val="24"/>
          <w:szCs w:val="24"/>
          <w:lang w:eastAsia="es-CO"/>
        </w:rPr>
      </w:pPr>
      <w:r>
        <w:rPr>
          <w:rFonts w:asciiTheme="minorHAnsi" w:hAnsiTheme="minorHAnsi" w:cstheme="minorHAnsi"/>
          <w:b/>
          <w:color w:val="00B050"/>
          <w:kern w:val="1"/>
          <w:sz w:val="24"/>
          <w:szCs w:val="24"/>
        </w:rPr>
        <w:t>Comunidad de la empresa:</w:t>
      </w:r>
      <w:r>
        <w:rPr>
          <w:rFonts w:ascii="Cambria" w:hAnsi="Cambria"/>
          <w:b/>
          <w:bCs/>
          <w:color w:val="00B050"/>
          <w:szCs w:val="22"/>
        </w:rPr>
        <w:t xml:space="preserve"> </w:t>
      </w:r>
      <w:r>
        <w:rPr>
          <w:rFonts w:asciiTheme="minorHAnsi" w:hAnsiTheme="minorHAnsi" w:cstheme="minorHAnsi"/>
          <w:color w:val="00B050"/>
          <w:kern w:val="1"/>
          <w:sz w:val="24"/>
          <w:szCs w:val="24"/>
        </w:rPr>
        <w:t xml:space="preserve">corresponde a todas las personas que tienen relación con la empresa, incluye además de los colaboradores, a los clientes, estudiantes, entre otros (algunos ejemplos de comunidad de la empresa son: comunidad educativa, comunidad empresarial, etc.) </w:t>
      </w:r>
      <w:r>
        <w:rPr>
          <w:rFonts w:asciiTheme="minorHAnsi" w:hAnsiTheme="minorHAnsi" w:cstheme="minorHAnsi"/>
          <w:color w:val="00B050"/>
          <w:kern w:val="1"/>
          <w:sz w:val="24"/>
          <w:szCs w:val="24"/>
          <w:lang w:eastAsia="es-CO"/>
        </w:rPr>
        <w:t>(Res. 40595 de 2022).</w:t>
      </w:r>
    </w:p>
    <w:p w14:paraId="651CFC18">
      <w:pPr>
        <w:pStyle w:val="56"/>
        <w:jc w:val="both"/>
        <w:rPr>
          <w:rFonts w:ascii="Cambria" w:hAnsi="Cambria" w:cs="Arial"/>
          <w:b/>
          <w:bCs/>
        </w:rPr>
      </w:pPr>
    </w:p>
    <w:p w14:paraId="4B12A55D">
      <w:pPr>
        <w:numPr>
          <w:ilvl w:val="0"/>
          <w:numId w:val="3"/>
        </w:numPr>
        <w:suppressAutoHyphens/>
        <w:spacing w:after="240"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b/>
          <w:kern w:val="1"/>
          <w:sz w:val="24"/>
          <w:szCs w:val="24"/>
          <w:lang w:eastAsia="es-CO"/>
        </w:rPr>
        <w:t xml:space="preserve">Accidente de trabajo: </w:t>
      </w:r>
      <w:r>
        <w:rPr>
          <w:rFonts w:asciiTheme="minorHAnsi" w:hAnsiTheme="minorHAnsi" w:cstheme="minorHAnsi"/>
          <w:kern w:val="1"/>
          <w:sz w:val="24"/>
          <w:szCs w:val="24"/>
          <w:lang w:eastAsia="es-CO"/>
        </w:rPr>
        <w:t>Todo suceso repentino que sobrevenga por causa del trabajo y que produzca en el trabajador una lesión orgánica, una perturbación funcional o psíquica, una invalidez o la muerte. Así como el que se produce durante la ejecución de órdenes del empleador o contratante, durante la ejecución de una labor bajo su autoridad, aún por fuera del lugar y horas de trabajo; igualmente el que se produzca durante el traslado de los trabajadores o contratistas desde su residencia a los lugares de trabajo y viceversa, cuando el transporte lo suministre el empleador (Ley 1562 de 2012).</w:t>
      </w:r>
    </w:p>
    <w:p w14:paraId="255EAD4A">
      <w:pPr>
        <w:numPr>
          <w:ilvl w:val="0"/>
          <w:numId w:val="3"/>
        </w:numPr>
        <w:suppressAutoHyphens/>
        <w:spacing w:after="240"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b/>
          <w:kern w:val="1"/>
          <w:sz w:val="24"/>
          <w:szCs w:val="24"/>
          <w:lang w:eastAsia="es-CO"/>
        </w:rPr>
        <w:t xml:space="preserve">Amenaza: </w:t>
      </w:r>
      <w:r>
        <w:rPr>
          <w:rFonts w:asciiTheme="minorHAnsi" w:hAnsiTheme="minorHAnsi" w:cstheme="minorHAnsi"/>
          <w:kern w:val="1"/>
          <w:sz w:val="24"/>
          <w:szCs w:val="24"/>
          <w:lang w:eastAsia="es-CO"/>
        </w:rPr>
        <w:t>Se define como la probabilidad de ocurrencia de un suceso potencialmente desastroso, durante cierto período de tiempo en un sitio dado.</w:t>
      </w:r>
    </w:p>
    <w:p w14:paraId="3C2AB4D1">
      <w:pPr>
        <w:numPr>
          <w:ilvl w:val="0"/>
          <w:numId w:val="3"/>
        </w:numPr>
        <w:suppressAutoHyphens/>
        <w:spacing w:after="240"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b/>
          <w:kern w:val="1"/>
          <w:sz w:val="24"/>
          <w:szCs w:val="24"/>
          <w:lang w:eastAsia="es-CO"/>
        </w:rPr>
        <w:t xml:space="preserve">Conductor: </w:t>
      </w:r>
      <w:r>
        <w:rPr>
          <w:rFonts w:asciiTheme="minorHAnsi" w:hAnsiTheme="minorHAnsi" w:cstheme="minorHAnsi"/>
          <w:kern w:val="1"/>
          <w:sz w:val="24"/>
          <w:szCs w:val="24"/>
          <w:lang w:eastAsia="es-CO"/>
        </w:rPr>
        <w:t>Es la persona habilitada y capacitada técnica y teóricamente para operar un vehículo (CNTT, 2002).</w:t>
      </w:r>
    </w:p>
    <w:p w14:paraId="4D6793F6">
      <w:pPr>
        <w:numPr>
          <w:ilvl w:val="0"/>
          <w:numId w:val="3"/>
        </w:numPr>
        <w:suppressAutoHyphens/>
        <w:spacing w:after="240"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b/>
          <w:kern w:val="1"/>
          <w:sz w:val="24"/>
          <w:szCs w:val="24"/>
          <w:lang w:eastAsia="es-CO"/>
        </w:rPr>
        <w:t xml:space="preserve">Estrategia: </w:t>
      </w:r>
      <w:r>
        <w:rPr>
          <w:rFonts w:asciiTheme="minorHAnsi" w:hAnsiTheme="minorHAnsi" w:cstheme="minorHAnsi"/>
          <w:kern w:val="1"/>
          <w:sz w:val="24"/>
          <w:szCs w:val="24"/>
          <w:lang w:eastAsia="es-CO"/>
        </w:rPr>
        <w:t xml:space="preserve">Comprende las principales orientaciones y acciones encaminadas a lograr los objetivos de un plan. En un proceso regulable, conjunto de las reglas que aseguran una decisión óptima en cada momento. </w:t>
      </w:r>
    </w:p>
    <w:p w14:paraId="19A41CA3">
      <w:pPr>
        <w:numPr>
          <w:ilvl w:val="0"/>
          <w:numId w:val="3"/>
        </w:numPr>
        <w:suppressAutoHyphens/>
        <w:spacing w:after="240"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b/>
          <w:kern w:val="1"/>
          <w:sz w:val="24"/>
          <w:szCs w:val="24"/>
          <w:lang w:eastAsia="es-CO"/>
        </w:rPr>
        <w:t xml:space="preserve">Pasajero: </w:t>
      </w:r>
      <w:r>
        <w:rPr>
          <w:rFonts w:asciiTheme="minorHAnsi" w:hAnsiTheme="minorHAnsi" w:cstheme="minorHAnsi"/>
          <w:kern w:val="1"/>
          <w:sz w:val="24"/>
          <w:szCs w:val="24"/>
          <w:lang w:eastAsia="es-CO"/>
        </w:rPr>
        <w:t>Persona distinta del conductor que se transporta en un vehículo público (CNTT, 2002).</w:t>
      </w:r>
    </w:p>
    <w:p w14:paraId="47EB4BA4">
      <w:pPr>
        <w:numPr>
          <w:ilvl w:val="0"/>
          <w:numId w:val="3"/>
        </w:numPr>
        <w:suppressAutoHyphens/>
        <w:spacing w:after="240"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b/>
          <w:kern w:val="1"/>
          <w:sz w:val="24"/>
          <w:szCs w:val="24"/>
          <w:lang w:eastAsia="es-CO"/>
        </w:rPr>
        <w:t xml:space="preserve">Peatón: </w:t>
      </w:r>
      <w:r>
        <w:rPr>
          <w:rFonts w:asciiTheme="minorHAnsi" w:hAnsiTheme="minorHAnsi" w:cstheme="minorHAnsi"/>
          <w:kern w:val="1"/>
          <w:sz w:val="24"/>
          <w:szCs w:val="24"/>
          <w:lang w:eastAsia="es-CO"/>
        </w:rPr>
        <w:t>Persona que transita a pie por una vía (CNTT, 2002).</w:t>
      </w:r>
    </w:p>
    <w:p w14:paraId="28C1B5C9">
      <w:pPr>
        <w:numPr>
          <w:ilvl w:val="0"/>
          <w:numId w:val="3"/>
        </w:numPr>
        <w:suppressAutoHyphens/>
        <w:spacing w:after="240"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b/>
          <w:kern w:val="1"/>
          <w:sz w:val="24"/>
          <w:szCs w:val="24"/>
          <w:lang w:eastAsia="es-CO"/>
        </w:rPr>
        <w:t xml:space="preserve">Plan de acción: </w:t>
      </w:r>
      <w:r>
        <w:rPr>
          <w:rFonts w:asciiTheme="minorHAnsi" w:hAnsiTheme="minorHAnsi" w:cstheme="minorHAnsi"/>
          <w:kern w:val="1"/>
          <w:sz w:val="24"/>
          <w:szCs w:val="24"/>
          <w:lang w:eastAsia="es-CO"/>
        </w:rPr>
        <w:t>Corresponde a un documento que reúne el conjunto de actividades específicas, los recursos y los plazos necesarios para alcanzar objetivos de un proyecto, así como las orientaciones sobre la forma de realizar, supervisar y evaluar las actividades.</w:t>
      </w:r>
    </w:p>
    <w:p w14:paraId="2A67A661">
      <w:pPr>
        <w:numPr>
          <w:ilvl w:val="0"/>
          <w:numId w:val="3"/>
        </w:numPr>
        <w:suppressAutoHyphens/>
        <w:spacing w:after="240"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b/>
          <w:kern w:val="1"/>
          <w:sz w:val="24"/>
          <w:szCs w:val="24"/>
          <w:lang w:eastAsia="es-CO"/>
        </w:rPr>
        <w:t xml:space="preserve">PESV: </w:t>
      </w:r>
      <w:r>
        <w:rPr>
          <w:rFonts w:asciiTheme="minorHAnsi" w:hAnsiTheme="minorHAnsi" w:cstheme="minorHAnsi"/>
          <w:kern w:val="1"/>
          <w:sz w:val="24"/>
          <w:szCs w:val="24"/>
          <w:lang w:eastAsia="es-CO"/>
        </w:rPr>
        <w:t>Plan Estratégico de Seguridad Vial.</w:t>
      </w:r>
    </w:p>
    <w:p w14:paraId="704D5BD9">
      <w:pPr>
        <w:numPr>
          <w:ilvl w:val="0"/>
          <w:numId w:val="3"/>
        </w:numPr>
        <w:suppressAutoHyphens/>
        <w:spacing w:after="240" w:line="276" w:lineRule="auto"/>
        <w:ind w:left="540" w:hanging="540"/>
        <w:rPr>
          <w:rFonts w:eastAsia="Calibri" w:asciiTheme="minorHAnsi" w:hAnsiTheme="minorHAnsi" w:cstheme="minorHAnsi"/>
          <w:color w:val="00B050"/>
          <w:kern w:val="1"/>
          <w:sz w:val="24"/>
          <w:szCs w:val="24"/>
          <w:lang w:val="es-VE" w:eastAsia="en-US"/>
        </w:rPr>
      </w:pPr>
      <w:r>
        <w:rPr>
          <w:rFonts w:asciiTheme="minorHAnsi" w:hAnsiTheme="minorHAnsi" w:cstheme="minorHAnsi"/>
          <w:b/>
          <w:color w:val="00B050"/>
          <w:kern w:val="1"/>
          <w:sz w:val="24"/>
          <w:szCs w:val="24"/>
          <w:lang w:eastAsia="es-CO"/>
        </w:rPr>
        <w:t>Plan Estratégico de Seguridad Vial (PESV):</w:t>
      </w:r>
      <w:r>
        <w:rPr>
          <w:rFonts w:ascii="Cambria" w:hAnsi="Cambria"/>
          <w:b/>
          <w:bCs/>
          <w:color w:val="00B050"/>
          <w:szCs w:val="22"/>
        </w:rPr>
        <w:t xml:space="preserve"> </w:t>
      </w:r>
      <w:r>
        <w:rPr>
          <w:rFonts w:asciiTheme="minorHAnsi" w:hAnsiTheme="minorHAnsi" w:cstheme="minorHAnsi"/>
          <w:color w:val="00B050"/>
          <w:kern w:val="1"/>
          <w:sz w:val="24"/>
          <w:szCs w:val="24"/>
          <w:lang w:eastAsia="es-CO"/>
        </w:rPr>
        <w:t>Herramienta de gestión que contiene las acciones, mecanismos, estrategias y medidas de planificación, implementación, seguimiento y mejora que deben adoptar las diferentes entidades, organizaciones o empresas del sector público o privado de conformidad con el artículo 110 del Decreto Ley 2106 de 2019, encaminadas a generar hábitos, comportamientos y conductas seguras en las vías para prevenir riesgos, reducir la accidentalidad vial y disminuir sus efectos nocivos.</w:t>
      </w:r>
    </w:p>
    <w:p w14:paraId="6566A037">
      <w:pPr>
        <w:numPr>
          <w:ilvl w:val="0"/>
          <w:numId w:val="3"/>
        </w:numPr>
        <w:suppressAutoHyphens/>
        <w:spacing w:after="240"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b/>
          <w:kern w:val="1"/>
          <w:sz w:val="24"/>
          <w:szCs w:val="24"/>
          <w:lang w:eastAsia="es-CO"/>
        </w:rPr>
        <w:t xml:space="preserve">Riesgo: </w:t>
      </w:r>
      <w:r>
        <w:rPr>
          <w:rFonts w:asciiTheme="minorHAnsi" w:hAnsiTheme="minorHAnsi" w:cstheme="minorHAnsi"/>
          <w:kern w:val="1"/>
          <w:sz w:val="24"/>
          <w:szCs w:val="24"/>
          <w:lang w:eastAsia="es-CO"/>
        </w:rPr>
        <w:t>Es la evaluación de las consecuencias de un peligro, expresada en términos de probabilidad y severidad, tomando como referencia la peor condición previsible.</w:t>
      </w:r>
    </w:p>
    <w:p w14:paraId="2D1D5B0A">
      <w:pPr>
        <w:numPr>
          <w:ilvl w:val="0"/>
          <w:numId w:val="3"/>
        </w:numPr>
        <w:suppressAutoHyphens/>
        <w:spacing w:after="240"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b/>
          <w:kern w:val="1"/>
          <w:sz w:val="24"/>
          <w:szCs w:val="24"/>
          <w:lang w:eastAsia="es-CO"/>
        </w:rPr>
        <w:t>Seguros obligatorios</w:t>
      </w:r>
      <w:r>
        <w:rPr>
          <w:rFonts w:asciiTheme="minorHAnsi" w:hAnsiTheme="minorHAnsi" w:cstheme="minorHAnsi"/>
          <w:kern w:val="1"/>
          <w:sz w:val="24"/>
          <w:szCs w:val="24"/>
          <w:lang w:eastAsia="es-CO"/>
        </w:rPr>
        <w:t>: Son aquellos que son impuestos por el Estado, tales como los de Seguridad Social, Seguro de Vida Obligatorio, Seguro Colectivo para el personal del Estado, Seguro Obligatorio de Responsabilidad Civil Automotores, etc.</w:t>
      </w:r>
    </w:p>
    <w:p w14:paraId="5A3A482D">
      <w:pPr>
        <w:numPr>
          <w:ilvl w:val="0"/>
          <w:numId w:val="3"/>
        </w:numPr>
        <w:suppressAutoHyphens/>
        <w:spacing w:after="240"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b/>
          <w:kern w:val="1"/>
          <w:sz w:val="24"/>
          <w:szCs w:val="24"/>
          <w:lang w:eastAsia="es-CO"/>
        </w:rPr>
        <w:t>Seguridad Vial</w:t>
      </w:r>
      <w:r>
        <w:rPr>
          <w:rFonts w:asciiTheme="minorHAnsi" w:hAnsiTheme="minorHAnsi" w:cstheme="minorHAnsi"/>
          <w:kern w:val="1"/>
          <w:sz w:val="24"/>
          <w:szCs w:val="24"/>
          <w:lang w:eastAsia="es-CO"/>
        </w:rPr>
        <w:t xml:space="preserve">: Se refiere al conjunto de acciones, mecanismos, estrategias y medidas orientadas a la prevención de accidentes de tránsito, o a anular o disminuir los efectos de los mismos, con el objetivo de proteger la vida de los usuarios de las vías. </w:t>
      </w:r>
    </w:p>
    <w:p w14:paraId="08EFD35F">
      <w:pPr>
        <w:numPr>
          <w:ilvl w:val="0"/>
          <w:numId w:val="3"/>
        </w:numPr>
        <w:suppressAutoHyphens/>
        <w:spacing w:after="240"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b/>
          <w:kern w:val="1"/>
          <w:sz w:val="24"/>
          <w:szCs w:val="24"/>
          <w:lang w:eastAsia="es-CO"/>
        </w:rPr>
        <w:t xml:space="preserve">Seguridad activa: </w:t>
      </w:r>
      <w:r>
        <w:rPr>
          <w:rFonts w:asciiTheme="minorHAnsi" w:hAnsiTheme="minorHAnsi" w:cstheme="minorHAnsi"/>
          <w:kern w:val="1"/>
          <w:sz w:val="24"/>
          <w:szCs w:val="24"/>
          <w:lang w:eastAsia="es-CO"/>
        </w:rPr>
        <w:t>Conjunto de mecanismos o dispositivos del vehículo automotor destinados a proporcionar una mayor eficacia en la estabilidad y control del vehículo en marcha para disminuir el riesgo de que se produzca un accidente de tránsito.</w:t>
      </w:r>
    </w:p>
    <w:p w14:paraId="738CA200">
      <w:pPr>
        <w:numPr>
          <w:ilvl w:val="0"/>
          <w:numId w:val="3"/>
        </w:numPr>
        <w:suppressAutoHyphens/>
        <w:spacing w:after="240"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b/>
          <w:kern w:val="1"/>
          <w:sz w:val="24"/>
          <w:szCs w:val="24"/>
          <w:lang w:eastAsia="es-CO"/>
        </w:rPr>
        <w:t xml:space="preserve">Seguridad pasiva: </w:t>
      </w:r>
      <w:r>
        <w:rPr>
          <w:rFonts w:asciiTheme="minorHAnsi" w:hAnsiTheme="minorHAnsi" w:cstheme="minorHAnsi"/>
          <w:kern w:val="1"/>
          <w:sz w:val="24"/>
          <w:szCs w:val="24"/>
          <w:lang w:eastAsia="es-CO"/>
        </w:rPr>
        <w:t>Son los elementos del vehículo automotor que disminuyen los daños que se pueden producir cuando un accidente de tránsito es inevitable y ayudan a minimizar los posibles daños a los ocupantes del vehículo.</w:t>
      </w:r>
    </w:p>
    <w:p w14:paraId="3BA193FE">
      <w:pPr>
        <w:numPr>
          <w:ilvl w:val="0"/>
          <w:numId w:val="3"/>
        </w:numPr>
        <w:suppressAutoHyphens/>
        <w:spacing w:after="240"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b/>
          <w:kern w:val="1"/>
          <w:sz w:val="24"/>
          <w:szCs w:val="24"/>
          <w:lang w:eastAsia="es-CO"/>
        </w:rPr>
        <w:t>Seguro Obligatorio de Accidentes de Tránsito – SOAT</w:t>
      </w:r>
      <w:r>
        <w:rPr>
          <w:rFonts w:asciiTheme="minorHAnsi" w:hAnsiTheme="minorHAnsi" w:cstheme="minorHAnsi"/>
          <w:kern w:val="1"/>
          <w:sz w:val="24"/>
          <w:szCs w:val="24"/>
          <w:lang w:eastAsia="es-CO"/>
        </w:rPr>
        <w:t>: Seguro que ampara los daños corporales que se causen a las personas en accidentes de tránsito e indemniza a los beneficiarios o las víctimas por muerte o incapacidad médica según el caso.</w:t>
      </w:r>
    </w:p>
    <w:p w14:paraId="6BE14A53">
      <w:pPr>
        <w:numPr>
          <w:ilvl w:val="0"/>
          <w:numId w:val="3"/>
        </w:numPr>
        <w:suppressAutoHyphens/>
        <w:spacing w:after="240" w:line="276" w:lineRule="auto"/>
        <w:ind w:left="540" w:hanging="540"/>
        <w:rPr>
          <w:rFonts w:eastAsia="Calibri" w:asciiTheme="minorHAnsi" w:hAnsiTheme="minorHAnsi" w:cstheme="minorHAnsi"/>
          <w:color w:val="00B050"/>
          <w:kern w:val="1"/>
          <w:sz w:val="24"/>
          <w:szCs w:val="24"/>
          <w:lang w:val="es-VE" w:eastAsia="en-US"/>
        </w:rPr>
      </w:pPr>
      <w:r>
        <w:rPr>
          <w:rFonts w:asciiTheme="minorHAnsi" w:hAnsiTheme="minorHAnsi" w:cstheme="minorHAnsi"/>
          <w:b/>
          <w:color w:val="00B050"/>
          <w:kern w:val="1"/>
          <w:sz w:val="24"/>
          <w:szCs w:val="24"/>
          <w:lang w:eastAsia="es-CO"/>
        </w:rPr>
        <w:t>Siniestro vial:</w:t>
      </w:r>
      <w:r>
        <w:rPr>
          <w:rFonts w:ascii="Cambria" w:hAnsi="Cambria"/>
          <w:b/>
          <w:bCs/>
          <w:color w:val="00B050"/>
          <w:szCs w:val="22"/>
        </w:rPr>
        <w:t xml:space="preserve"> </w:t>
      </w:r>
      <w:r>
        <w:rPr>
          <w:rFonts w:asciiTheme="minorHAnsi" w:hAnsiTheme="minorHAnsi" w:cstheme="minorHAnsi"/>
          <w:color w:val="00B050"/>
          <w:kern w:val="1"/>
          <w:sz w:val="24"/>
          <w:szCs w:val="24"/>
          <w:lang w:eastAsia="es-CO"/>
        </w:rPr>
        <w:t>El término es utilizado en sustitución del término legal accidente de tránsito, con el ánimo de armonizar su uso en el enfoque de sistema seguro. (Anuario Nacional de Siniestralidad Vial 2020)</w:t>
      </w:r>
    </w:p>
    <w:p w14:paraId="44E1B085">
      <w:pPr>
        <w:numPr>
          <w:ilvl w:val="0"/>
          <w:numId w:val="3"/>
        </w:numPr>
        <w:suppressAutoHyphens/>
        <w:spacing w:after="240"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b/>
          <w:kern w:val="1"/>
          <w:sz w:val="24"/>
          <w:szCs w:val="24"/>
          <w:lang w:eastAsia="es-CO"/>
        </w:rPr>
        <w:t xml:space="preserve">Vehículo: </w:t>
      </w:r>
      <w:r>
        <w:rPr>
          <w:rFonts w:asciiTheme="minorHAnsi" w:hAnsiTheme="minorHAnsi" w:cstheme="minorHAnsi"/>
          <w:kern w:val="1"/>
          <w:sz w:val="24"/>
          <w:szCs w:val="24"/>
          <w:lang w:eastAsia="es-CO"/>
        </w:rPr>
        <w:t>Todo aparato montado sobre ruedas que permite el transporte de personas, animales o cosas de un punto a otro por vía terrestre pública o privada abierta al público (CNTT, 2002).</w:t>
      </w:r>
    </w:p>
    <w:p w14:paraId="213DC44C">
      <w:pPr>
        <w:numPr>
          <w:ilvl w:val="0"/>
          <w:numId w:val="3"/>
        </w:numPr>
        <w:suppressAutoHyphens/>
        <w:spacing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b/>
          <w:kern w:val="1"/>
          <w:sz w:val="24"/>
          <w:szCs w:val="24"/>
          <w:lang w:eastAsia="es-CO"/>
        </w:rPr>
        <w:t xml:space="preserve">Vulnerabilidad: </w:t>
      </w:r>
      <w:r>
        <w:rPr>
          <w:rFonts w:asciiTheme="minorHAnsi" w:hAnsiTheme="minorHAnsi" w:cstheme="minorHAnsi"/>
          <w:kern w:val="1"/>
          <w:sz w:val="24"/>
          <w:szCs w:val="24"/>
          <w:lang w:eastAsia="es-CO"/>
        </w:rPr>
        <w:t>Probabilidad de afectación, puede decirse también, de la susceptibilidad de ser afectado por una amenaza y su capacidad de sobreponerse.</w:t>
      </w:r>
    </w:p>
    <w:p w14:paraId="59A05340">
      <w:pPr>
        <w:suppressAutoHyphens/>
        <w:spacing w:line="276" w:lineRule="auto"/>
        <w:ind w:left="540"/>
        <w:rPr>
          <w:rFonts w:eastAsia="Calibri" w:asciiTheme="minorHAnsi" w:hAnsiTheme="minorHAnsi" w:cstheme="minorHAnsi"/>
          <w:kern w:val="1"/>
          <w:sz w:val="24"/>
          <w:szCs w:val="24"/>
          <w:lang w:val="es-VE" w:eastAsia="en-US"/>
        </w:rPr>
      </w:pPr>
    </w:p>
    <w:p w14:paraId="0403F304">
      <w:pPr>
        <w:suppressAutoHyphens/>
        <w:spacing w:line="276" w:lineRule="auto"/>
        <w:ind w:left="540"/>
        <w:rPr>
          <w:rFonts w:eastAsia="Calibri" w:asciiTheme="minorHAnsi" w:hAnsiTheme="minorHAnsi" w:cstheme="minorHAnsi"/>
          <w:kern w:val="1"/>
          <w:sz w:val="24"/>
          <w:szCs w:val="24"/>
          <w:lang w:val="es-VE" w:eastAsia="en-US"/>
        </w:rPr>
      </w:pPr>
    </w:p>
    <w:p w14:paraId="23980949">
      <w:pPr>
        <w:suppressAutoHyphens/>
        <w:spacing w:line="276" w:lineRule="auto"/>
        <w:rPr>
          <w:rFonts w:asciiTheme="minorHAnsi" w:hAnsiTheme="minorHAnsi" w:cstheme="minorHAnsi"/>
          <w:sz w:val="24"/>
          <w:szCs w:val="24"/>
          <w:lang w:eastAsia="es-CO"/>
        </w:rPr>
      </w:pPr>
    </w:p>
    <w:p w14:paraId="1AA8E8B3">
      <w:pPr>
        <w:pStyle w:val="2"/>
        <w:numPr>
          <w:ilvl w:val="0"/>
          <w:numId w:val="0"/>
        </w:numPr>
        <w:tabs>
          <w:tab w:val="left" w:pos="540"/>
        </w:tabs>
        <w:spacing w:line="276" w:lineRule="auto"/>
        <w:rPr>
          <w:rFonts w:asciiTheme="minorHAnsi" w:hAnsiTheme="minorHAnsi" w:cstheme="minorHAnsi"/>
          <w:color w:val="000000" w:themeColor="text1"/>
          <w:sz w:val="24"/>
          <w14:textFill>
            <w14:solidFill>
              <w14:schemeClr w14:val="tx1"/>
            </w14:solidFill>
          </w14:textFill>
        </w:rPr>
      </w:pPr>
      <w:bookmarkStart w:id="6" w:name="_Toc188966770"/>
      <w:r>
        <w:rPr>
          <w:rFonts w:asciiTheme="minorHAnsi" w:hAnsiTheme="minorHAnsi" w:cstheme="minorHAnsi"/>
          <w:color w:val="000000" w:themeColor="text1"/>
          <w:sz w:val="24"/>
          <w14:textFill>
            <w14:solidFill>
              <w14:schemeClr w14:val="tx1"/>
            </w14:solidFill>
          </w14:textFill>
        </w:rPr>
        <w:t>MARCO NORMATIVO</w:t>
      </w:r>
      <w:bookmarkEnd w:id="6"/>
      <w:r>
        <w:rPr>
          <w:rFonts w:asciiTheme="minorHAnsi" w:hAnsiTheme="minorHAnsi" w:cstheme="minorHAnsi"/>
          <w:color w:val="000000" w:themeColor="text1"/>
          <w:sz w:val="24"/>
          <w14:textFill>
            <w14:solidFill>
              <w14:schemeClr w14:val="tx1"/>
            </w14:solidFill>
          </w14:textFill>
        </w:rPr>
        <w:t xml:space="preserve"> </w:t>
      </w:r>
    </w:p>
    <w:p w14:paraId="5CF3D0D3">
      <w:pPr>
        <w:suppressAutoHyphens/>
        <w:spacing w:line="276" w:lineRule="auto"/>
        <w:rPr>
          <w:rFonts w:eastAsia="Calibri" w:asciiTheme="minorHAnsi" w:hAnsiTheme="minorHAnsi" w:cstheme="minorHAnsi"/>
          <w:kern w:val="1"/>
          <w:sz w:val="24"/>
          <w:szCs w:val="24"/>
          <w:lang w:val="es-VE" w:eastAsia="en-US"/>
        </w:rPr>
      </w:pPr>
      <w:r>
        <w:rPr>
          <w:rFonts w:asciiTheme="minorHAnsi" w:hAnsiTheme="minorHAnsi" w:cstheme="minorHAnsi"/>
          <w:kern w:val="1"/>
          <w:sz w:val="24"/>
          <w:szCs w:val="24"/>
          <w:lang w:eastAsia="es-CO"/>
        </w:rPr>
        <w:t xml:space="preserve">El presente PESV se estructura con base en el Decreto 1079 de 2015 del Ministerio de Transporte “Por medio del cual se expide el Decreto Único Reglamentario del Sector Transporte” (norma compilatoria de: (i) Ley 1503 de 2011 “Por la cual se promueve la formación de hábitos, comportamientos y conductas seguros en la vía y se dictan otras disposiciones”, (ii) Decreto 2851 de 2013 “Por el cual se reglamentan los artículos 3°, 4°, 5°, 6°, 7°, 9º, 10, 12, 13, 18 y 19 de la Ley 1503 de 2011 y se dictan otras disposiciones”, (iii) Resolución </w:t>
      </w:r>
      <w:r>
        <w:rPr>
          <w:rFonts w:asciiTheme="minorHAnsi" w:hAnsiTheme="minorHAnsi" w:cstheme="minorHAnsi"/>
          <w:color w:val="00B050"/>
          <w:kern w:val="1"/>
          <w:sz w:val="24"/>
          <w:szCs w:val="24"/>
          <w:lang w:eastAsia="es-CO"/>
        </w:rPr>
        <w:t>40595 de 2022</w:t>
      </w:r>
      <w:r>
        <w:rPr>
          <w:rFonts w:asciiTheme="minorHAnsi" w:hAnsiTheme="minorHAnsi" w:cstheme="minorHAnsi"/>
          <w:kern w:val="1"/>
          <w:sz w:val="24"/>
          <w:szCs w:val="24"/>
          <w:lang w:eastAsia="es-CO"/>
        </w:rPr>
        <w:t xml:space="preserve"> “Por la cual se expide la Guía metodológica para la elaboración del Plan Estratégico de Seguridad Vial”,  y (iv) entre otras) y el Decreto 1072 de 2015 del Ministerio de Trabajo “Por medio del cual se expide el Decreto Único Reglamentario del Sector Trabajo”. </w:t>
      </w:r>
    </w:p>
    <w:p w14:paraId="109F1887">
      <w:pPr>
        <w:suppressAutoHyphens/>
        <w:spacing w:line="276" w:lineRule="auto"/>
        <w:rPr>
          <w:rFonts w:asciiTheme="minorHAnsi" w:hAnsiTheme="minorHAnsi" w:cstheme="minorHAnsi"/>
          <w:kern w:val="1"/>
          <w:sz w:val="24"/>
          <w:szCs w:val="24"/>
          <w:lang w:eastAsia="es-CO"/>
        </w:rPr>
      </w:pPr>
    </w:p>
    <w:p w14:paraId="427CBFC5">
      <w:pPr>
        <w:suppressAutoHyphens/>
        <w:spacing w:line="276" w:lineRule="auto"/>
        <w:rPr>
          <w:rFonts w:eastAsia="Calibri" w:asciiTheme="minorHAnsi" w:hAnsiTheme="minorHAnsi" w:cstheme="minorHAnsi"/>
          <w:kern w:val="1"/>
          <w:sz w:val="24"/>
          <w:szCs w:val="24"/>
          <w:lang w:val="es-VE" w:eastAsia="en-US"/>
        </w:rPr>
      </w:pPr>
      <w:r>
        <w:rPr>
          <w:rFonts w:asciiTheme="minorHAnsi" w:hAnsiTheme="minorHAnsi" w:cstheme="minorHAnsi"/>
          <w:kern w:val="1"/>
          <w:sz w:val="24"/>
          <w:szCs w:val="24"/>
          <w:lang w:eastAsia="es-CO"/>
        </w:rPr>
        <w:t>La institución dispone de una matriz de requisitos legales, en la cual se contempla la normatividad referente a tránsito</w:t>
      </w:r>
      <w:r>
        <w:rPr>
          <w:rFonts w:asciiTheme="minorHAnsi" w:hAnsiTheme="minorHAnsi" w:cstheme="minorHAnsi"/>
          <w:b/>
          <w:i/>
          <w:kern w:val="1"/>
          <w:sz w:val="24"/>
          <w:szCs w:val="24"/>
          <w:lang w:eastAsia="es-CO"/>
        </w:rPr>
        <w:t>.</w:t>
      </w:r>
      <w:r>
        <w:rPr>
          <w:rFonts w:eastAsia="Calibri" w:asciiTheme="minorHAnsi" w:hAnsiTheme="minorHAnsi" w:cstheme="minorHAnsi"/>
          <w:kern w:val="1"/>
          <w:sz w:val="24"/>
          <w:szCs w:val="24"/>
          <w:lang w:val="es-VE" w:eastAsia="en-US"/>
        </w:rPr>
        <w:t xml:space="preserve"> </w:t>
      </w:r>
    </w:p>
    <w:p w14:paraId="46D5C268">
      <w:pPr>
        <w:suppressAutoHyphens/>
        <w:spacing w:line="276" w:lineRule="auto"/>
        <w:rPr>
          <w:rFonts w:asciiTheme="minorHAnsi" w:hAnsiTheme="minorHAnsi" w:cstheme="minorHAnsi"/>
          <w:kern w:val="1"/>
          <w:sz w:val="24"/>
          <w:szCs w:val="24"/>
          <w:lang w:eastAsia="es-CO"/>
        </w:rPr>
      </w:pPr>
    </w:p>
    <w:p w14:paraId="118FE175">
      <w:pPr>
        <w:suppressAutoHyphens/>
        <w:spacing w:line="276" w:lineRule="auto"/>
        <w:rPr>
          <w:rFonts w:asciiTheme="minorHAnsi" w:hAnsiTheme="minorHAnsi" w:cstheme="minorHAnsi"/>
          <w:kern w:val="1"/>
          <w:sz w:val="24"/>
          <w:szCs w:val="24"/>
          <w:lang w:eastAsia="es-CO"/>
        </w:rPr>
      </w:pPr>
      <w:r>
        <w:rPr>
          <w:rFonts w:asciiTheme="minorHAnsi" w:hAnsiTheme="minorHAnsi" w:cstheme="minorHAnsi"/>
          <w:b/>
          <w:i/>
          <w:kern w:val="1"/>
          <w:sz w:val="24"/>
          <w:szCs w:val="24"/>
          <w:lang w:eastAsia="es-CO"/>
        </w:rPr>
        <w:t>Ver Matriz de requisitos legales plataforma compromISO / módulo de seguridad y salud en el trabajo / Evaluar requisitos / Requisitos vigentes.</w:t>
      </w:r>
    </w:p>
    <w:p w14:paraId="57C8F887">
      <w:pPr>
        <w:suppressAutoHyphens/>
        <w:spacing w:line="276" w:lineRule="auto"/>
        <w:rPr>
          <w:rFonts w:asciiTheme="minorHAnsi" w:hAnsiTheme="minorHAnsi" w:cstheme="minorHAnsi"/>
          <w:kern w:val="1"/>
          <w:sz w:val="24"/>
          <w:szCs w:val="24"/>
          <w:lang w:eastAsia="es-CO"/>
        </w:rPr>
      </w:pPr>
    </w:p>
    <w:p w14:paraId="53F347A1">
      <w:pPr>
        <w:suppressAutoHyphens/>
        <w:spacing w:line="276" w:lineRule="auto"/>
        <w:rPr>
          <w:rFonts w:asciiTheme="minorHAnsi" w:hAnsiTheme="minorHAnsi" w:cstheme="minorHAnsi"/>
          <w:kern w:val="1"/>
          <w:sz w:val="24"/>
          <w:szCs w:val="24"/>
          <w:lang w:eastAsia="es-CO"/>
        </w:rPr>
      </w:pPr>
      <w:r>
        <w:rPr>
          <w:rFonts w:asciiTheme="minorHAnsi" w:hAnsiTheme="minorHAnsi" w:cstheme="minorHAnsi"/>
          <w:kern w:val="1"/>
          <w:sz w:val="24"/>
          <w:szCs w:val="24"/>
          <w:lang w:eastAsia="es-CO"/>
        </w:rPr>
        <w:t>Así mismo el SENA, dentro de su Sistema de Gestión la Seguridad y Salud en el trabajo (SG-SST),  incorpora, analiza y evalúa los requisitos normativos exigibles en la matriz legal reglamentaria según Decreto 1072 de 2015 del Ministerio de Trabajo “Por medio del cual se expide el Decreto Único Reglamentario del Sector Trabajo”.</w:t>
      </w:r>
    </w:p>
    <w:p w14:paraId="7C5BD04E">
      <w:pPr>
        <w:suppressAutoHyphens/>
        <w:spacing w:line="276" w:lineRule="auto"/>
        <w:rPr>
          <w:rFonts w:eastAsia="Calibri" w:asciiTheme="minorHAnsi" w:hAnsiTheme="minorHAnsi" w:cstheme="minorHAnsi"/>
          <w:kern w:val="1"/>
          <w:sz w:val="24"/>
          <w:szCs w:val="24"/>
          <w:lang w:eastAsia="en-US"/>
        </w:rPr>
      </w:pPr>
    </w:p>
    <w:p w14:paraId="4DCD1E37">
      <w:pPr>
        <w:pStyle w:val="2"/>
        <w:numPr>
          <w:ilvl w:val="0"/>
          <w:numId w:val="4"/>
        </w:numPr>
        <w:spacing w:after="0" w:line="276" w:lineRule="auto"/>
        <w:rPr>
          <w:rFonts w:asciiTheme="minorHAnsi" w:hAnsiTheme="minorHAnsi" w:cstheme="minorHAnsi"/>
          <w:color w:val="000000" w:themeColor="text1"/>
          <w:sz w:val="24"/>
          <w14:textFill>
            <w14:solidFill>
              <w14:schemeClr w14:val="tx1"/>
            </w14:solidFill>
          </w14:textFill>
        </w:rPr>
      </w:pPr>
      <w:bookmarkStart w:id="7" w:name="_Toc188966771"/>
      <w:r>
        <w:rPr>
          <w:rFonts w:asciiTheme="minorHAnsi" w:hAnsiTheme="minorHAnsi" w:cstheme="minorHAnsi"/>
          <w:color w:val="000000" w:themeColor="text1"/>
          <w:sz w:val="24"/>
          <w14:textFill>
            <w14:solidFill>
              <w14:schemeClr w14:val="tx1"/>
            </w14:solidFill>
          </w14:textFill>
        </w:rPr>
        <w:t>GENERALIDADES</w:t>
      </w:r>
      <w:bookmarkEnd w:id="7"/>
    </w:p>
    <w:p w14:paraId="267E13DF">
      <w:pPr>
        <w:spacing w:line="276" w:lineRule="auto"/>
        <w:rPr>
          <w:rFonts w:asciiTheme="minorHAnsi" w:hAnsiTheme="minorHAnsi" w:cstheme="minorHAnsi"/>
          <w:b/>
          <w:color w:val="00B050"/>
          <w:sz w:val="24"/>
          <w:szCs w:val="24"/>
        </w:rPr>
      </w:pPr>
    </w:p>
    <w:p w14:paraId="5EA740D8">
      <w:pPr>
        <w:pStyle w:val="3"/>
        <w:numPr>
          <w:ilvl w:val="1"/>
          <w:numId w:val="4"/>
        </w:numPr>
        <w:spacing w:after="0" w:line="276" w:lineRule="auto"/>
        <w:ind w:left="540" w:hanging="540"/>
        <w:rPr>
          <w:rFonts w:asciiTheme="minorHAnsi" w:hAnsiTheme="minorHAnsi" w:cstheme="minorHAnsi"/>
          <w:color w:val="auto"/>
          <w:sz w:val="24"/>
        </w:rPr>
      </w:pPr>
      <w:bookmarkStart w:id="8" w:name="_Toc188966772"/>
      <w:r>
        <w:rPr>
          <w:rFonts w:asciiTheme="minorHAnsi" w:hAnsiTheme="minorHAnsi" w:cstheme="minorHAnsi"/>
          <w:color w:val="auto"/>
          <w:sz w:val="24"/>
        </w:rPr>
        <w:t>NIVEL PLAN ESTRATEGICO DE SEGURIDAD VIAL</w:t>
      </w:r>
      <w:bookmarkEnd w:id="8"/>
    </w:p>
    <w:p w14:paraId="0BEDA325">
      <w:pPr>
        <w:spacing w:line="276" w:lineRule="auto"/>
        <w:rPr>
          <w:rFonts w:asciiTheme="minorHAnsi" w:hAnsiTheme="minorHAnsi" w:cstheme="minorHAnsi"/>
          <w:b/>
          <w:sz w:val="24"/>
          <w:szCs w:val="24"/>
        </w:rPr>
      </w:pPr>
    </w:p>
    <w:p w14:paraId="1BFF15D8">
      <w:pPr>
        <w:spacing w:line="276" w:lineRule="auto"/>
        <w:rPr>
          <w:rFonts w:eastAsia="Calibri" w:asciiTheme="minorHAnsi" w:hAnsiTheme="minorHAnsi" w:cstheme="minorHAnsi"/>
          <w:color w:val="00B050"/>
          <w:sz w:val="24"/>
          <w:szCs w:val="24"/>
          <w:lang w:eastAsia="en-US"/>
        </w:rPr>
      </w:pPr>
      <w:r>
        <w:rPr>
          <w:rFonts w:asciiTheme="minorHAnsi" w:hAnsiTheme="minorHAnsi" w:cstheme="minorHAnsi"/>
          <w:bCs/>
          <w:color w:val="00B050"/>
          <w:sz w:val="24"/>
          <w:szCs w:val="24"/>
          <w:u w:val="single"/>
        </w:rPr>
        <w:t>Misionalidad</w:t>
      </w:r>
      <w:r>
        <w:rPr>
          <w:rFonts w:asciiTheme="minorHAnsi" w:hAnsiTheme="minorHAnsi" w:cstheme="minorHAnsi"/>
          <w:b/>
          <w:color w:val="00B050"/>
          <w:sz w:val="24"/>
          <w:szCs w:val="24"/>
        </w:rPr>
        <w:t xml:space="preserve">: </w:t>
      </w:r>
      <w:r>
        <w:rPr>
          <w:rFonts w:eastAsia="Calibri" w:asciiTheme="minorHAnsi" w:hAnsiTheme="minorHAnsi" w:cstheme="minorHAnsi"/>
          <w:color w:val="00B050"/>
          <w:sz w:val="24"/>
          <w:szCs w:val="24"/>
          <w:lang w:eastAsia="en-US"/>
        </w:rPr>
        <w:t xml:space="preserve">El </w:t>
      </w:r>
      <w:r>
        <w:rPr>
          <w:rFonts w:eastAsia="Calibri" w:asciiTheme="minorHAnsi" w:hAnsiTheme="minorHAnsi" w:cstheme="minorHAnsi"/>
          <w:b/>
          <w:bCs/>
          <w:color w:val="00B050"/>
          <w:sz w:val="24"/>
          <w:szCs w:val="24"/>
          <w:lang w:eastAsia="en-US"/>
        </w:rPr>
        <w:t>SERVICIO NACIONAL DE APRENDIZAJE SENA</w:t>
      </w:r>
      <w:r>
        <w:rPr>
          <w:rFonts w:eastAsia="Calibri" w:asciiTheme="minorHAnsi" w:hAnsiTheme="minorHAnsi" w:cstheme="minorHAnsi"/>
          <w:color w:val="00B050"/>
          <w:sz w:val="24"/>
          <w:szCs w:val="24"/>
          <w:lang w:eastAsia="en-US"/>
        </w:rPr>
        <w:t xml:space="preserve"> es un establecimiento público del orden nacional adscrito al ministerio de trabajo que ofrece formación gratuita a colombianos a través de programas técnicos, tecnológicos y complementarios; clasificándose para efectos del PESV como una empresa de misionalidad 2: organizaciones dedicadas a una actividad diferente al transporte.</w:t>
      </w:r>
    </w:p>
    <w:p w14:paraId="2640242C">
      <w:pPr>
        <w:spacing w:line="276" w:lineRule="auto"/>
        <w:rPr>
          <w:rFonts w:eastAsia="Calibri" w:asciiTheme="minorHAnsi" w:hAnsiTheme="minorHAnsi" w:cstheme="minorHAnsi"/>
          <w:color w:val="00B050"/>
          <w:sz w:val="24"/>
          <w:szCs w:val="24"/>
          <w:lang w:eastAsia="en-US"/>
        </w:rPr>
      </w:pPr>
    </w:p>
    <w:p w14:paraId="0FE84174">
      <w:pPr>
        <w:suppressAutoHyphens/>
        <w:spacing w:line="276" w:lineRule="auto"/>
        <w:rPr>
          <w:rFonts w:asciiTheme="minorHAnsi" w:hAnsiTheme="minorHAnsi" w:cstheme="minorHAnsi"/>
          <w:b/>
          <w:color w:val="00B050"/>
          <w:sz w:val="24"/>
          <w:szCs w:val="24"/>
        </w:rPr>
      </w:pPr>
      <w:r>
        <w:rPr>
          <w:rFonts w:eastAsia="Calibri" w:asciiTheme="minorHAnsi" w:hAnsiTheme="minorHAnsi" w:cstheme="minorHAnsi"/>
          <w:color w:val="00B050"/>
          <w:sz w:val="24"/>
          <w:szCs w:val="24"/>
          <w:u w:val="single"/>
          <w:lang w:eastAsia="en-US"/>
        </w:rPr>
        <w:t>Tamaño</w:t>
      </w:r>
      <w:r>
        <w:rPr>
          <w:rFonts w:eastAsia="Calibri" w:asciiTheme="minorHAnsi" w:hAnsiTheme="minorHAnsi" w:cstheme="minorHAnsi"/>
          <w:color w:val="00B050"/>
          <w:sz w:val="24"/>
          <w:szCs w:val="24"/>
          <w:lang w:eastAsia="en-US"/>
        </w:rPr>
        <w:t xml:space="preserve">:   para realizar desplazamientos al servicio del SERVICIO DE APRENDIZAJE SENA se cuenta con más de 100 personas en rol de conductor y más de 100 vehículos, donde se incluyen de tipo </w:t>
      </w:r>
      <w:r>
        <w:rPr>
          <w:rFonts w:asciiTheme="minorHAnsi" w:hAnsiTheme="minorHAnsi" w:cstheme="minorHAnsi"/>
          <w:color w:val="00B050"/>
          <w:sz w:val="24"/>
          <w:szCs w:val="24"/>
          <w:lang w:eastAsia="es-CO"/>
        </w:rPr>
        <w:t>liviano, camionetas, motocicletas, vehículos de carga. La lista de vehículos y colaboradores en rol de conductor se identifica en las “</w:t>
      </w:r>
      <w:r>
        <w:rPr>
          <w:rFonts w:asciiTheme="minorHAnsi" w:hAnsiTheme="minorHAnsi" w:cstheme="minorHAnsi"/>
          <w:color w:val="00B050"/>
          <w:sz w:val="24"/>
          <w:szCs w:val="24"/>
          <w:highlight w:val="yellow"/>
          <w:lang w:eastAsia="es-CO"/>
        </w:rPr>
        <w:t>bases de DIAGNOSTICO PASO 5 PESV</w:t>
      </w:r>
      <w:r>
        <w:rPr>
          <w:rFonts w:asciiTheme="minorHAnsi" w:hAnsiTheme="minorHAnsi" w:cstheme="minorHAnsi"/>
          <w:color w:val="00B050"/>
          <w:sz w:val="24"/>
          <w:szCs w:val="24"/>
          <w:lang w:eastAsia="es-CO"/>
        </w:rPr>
        <w:t xml:space="preserve">”. </w:t>
      </w:r>
    </w:p>
    <w:p w14:paraId="5AEA2B67">
      <w:pPr>
        <w:suppressAutoHyphens/>
        <w:spacing w:line="276" w:lineRule="auto"/>
        <w:rPr>
          <w:rFonts w:asciiTheme="minorHAnsi" w:hAnsiTheme="minorHAnsi" w:cstheme="minorHAnsi"/>
          <w:b/>
          <w:color w:val="00B050"/>
          <w:sz w:val="24"/>
          <w:szCs w:val="24"/>
        </w:rPr>
      </w:pPr>
    </w:p>
    <w:p w14:paraId="5812865B">
      <w:pPr>
        <w:rPr>
          <w:rFonts w:eastAsia="Calibri" w:asciiTheme="minorHAnsi" w:hAnsiTheme="minorHAnsi" w:cstheme="minorHAnsi"/>
          <w:color w:val="00B050"/>
          <w:sz w:val="24"/>
          <w:szCs w:val="24"/>
          <w:lang w:eastAsia="en-US"/>
        </w:rPr>
      </w:pPr>
      <w:r>
        <w:rPr>
          <w:rFonts w:eastAsia="Calibri" w:asciiTheme="minorHAnsi" w:hAnsiTheme="minorHAnsi" w:cstheme="minorHAnsi"/>
          <w:color w:val="00B050"/>
          <w:sz w:val="24"/>
          <w:szCs w:val="24"/>
          <w:lang w:eastAsia="en-US"/>
        </w:rPr>
        <w:t xml:space="preserve">Acorde con la información relacionada, se define que el </w:t>
      </w:r>
      <w:r>
        <w:rPr>
          <w:rFonts w:eastAsia="Calibri" w:asciiTheme="minorHAnsi" w:hAnsiTheme="minorHAnsi" w:cstheme="minorHAnsi"/>
          <w:b/>
          <w:bCs/>
          <w:color w:val="00B050"/>
          <w:sz w:val="24"/>
          <w:szCs w:val="24"/>
          <w:lang w:eastAsia="en-US"/>
        </w:rPr>
        <w:t>SERVICIO NACIONAL DE APRENDIZAJE SENA</w:t>
      </w:r>
      <w:r>
        <w:rPr>
          <w:rFonts w:eastAsia="Calibri" w:asciiTheme="minorHAnsi" w:hAnsiTheme="minorHAnsi" w:cstheme="minorHAnsi"/>
          <w:color w:val="00B050"/>
          <w:sz w:val="24"/>
          <w:szCs w:val="24"/>
          <w:lang w:eastAsia="en-US"/>
        </w:rPr>
        <w:t xml:space="preserve"> debe diseñar, implementar y mejorar un Plan Estratégico de Seguridad Vial nivel “avanzado”.</w:t>
      </w:r>
    </w:p>
    <w:p w14:paraId="6C2B66C5">
      <w:pPr>
        <w:suppressAutoHyphens/>
        <w:spacing w:line="276" w:lineRule="auto"/>
        <w:rPr>
          <w:rFonts w:asciiTheme="minorHAnsi" w:hAnsiTheme="minorHAnsi" w:cstheme="minorHAnsi"/>
          <w:b/>
          <w:color w:val="00B050"/>
          <w:sz w:val="24"/>
          <w:szCs w:val="24"/>
        </w:rPr>
      </w:pPr>
    </w:p>
    <w:p w14:paraId="7ACE3B85">
      <w:pPr>
        <w:spacing w:line="276" w:lineRule="auto"/>
        <w:rPr>
          <w:rFonts w:asciiTheme="minorHAnsi" w:hAnsiTheme="minorHAnsi" w:cstheme="minorHAnsi"/>
          <w:b/>
          <w:color w:val="00B050"/>
          <w:sz w:val="24"/>
          <w:szCs w:val="24"/>
        </w:rPr>
      </w:pPr>
      <w:r>
        <w:rPr>
          <w:rFonts w:asciiTheme="minorHAnsi" w:hAnsiTheme="minorHAnsi" w:cstheme="minorHAnsi"/>
          <w:b/>
          <w:color w:val="00B050"/>
          <w:sz w:val="24"/>
          <w:szCs w:val="24"/>
        </w:rPr>
        <w:t>Aplicabilidad de los pasos nivel Avanzado:</w:t>
      </w:r>
    </w:p>
    <w:p w14:paraId="5634C48E">
      <w:pPr>
        <w:spacing w:line="276" w:lineRule="auto"/>
        <w:rPr>
          <w:rFonts w:asciiTheme="minorHAnsi" w:hAnsiTheme="minorHAnsi" w:cstheme="minorHAnsi"/>
          <w:b/>
          <w:color w:val="00B050"/>
          <w:sz w:val="24"/>
          <w:szCs w:val="24"/>
        </w:rPr>
      </w:pPr>
    </w:p>
    <w:p w14:paraId="454B49A5">
      <w:pPr>
        <w:rPr>
          <w:rFonts w:asciiTheme="minorHAnsi" w:hAnsiTheme="minorHAnsi" w:cstheme="minorHAnsi"/>
          <w:color w:val="00B050"/>
          <w:sz w:val="24"/>
          <w:szCs w:val="24"/>
          <w:lang w:eastAsia="es-CO"/>
        </w:rPr>
      </w:pPr>
      <w:r>
        <w:rPr>
          <w:rFonts w:asciiTheme="minorHAnsi" w:hAnsiTheme="minorHAnsi" w:cstheme="minorHAnsi"/>
          <w:color w:val="00B050"/>
          <w:sz w:val="24"/>
          <w:szCs w:val="24"/>
          <w:lang w:eastAsia="es-CO"/>
        </w:rPr>
        <w:t xml:space="preserve">En el marco de la Resolución 40595 de 2022 y teniendo en cuenta que </w:t>
      </w:r>
      <w:r>
        <w:rPr>
          <w:rFonts w:eastAsia="Calibri" w:asciiTheme="minorHAnsi" w:hAnsiTheme="minorHAnsi" w:cstheme="minorHAnsi"/>
          <w:color w:val="00B050"/>
          <w:sz w:val="24"/>
          <w:szCs w:val="24"/>
          <w:lang w:eastAsia="en-US"/>
        </w:rPr>
        <w:t xml:space="preserve">el </w:t>
      </w:r>
      <w:r>
        <w:rPr>
          <w:rFonts w:eastAsia="Calibri" w:asciiTheme="minorHAnsi" w:hAnsiTheme="minorHAnsi" w:cstheme="minorHAnsi"/>
          <w:b/>
          <w:bCs/>
          <w:color w:val="00B050"/>
          <w:sz w:val="24"/>
          <w:szCs w:val="24"/>
          <w:lang w:eastAsia="en-US"/>
        </w:rPr>
        <w:t>SERVICIO NACIONAL DE APRENDIZAJE SENA</w:t>
      </w:r>
      <w:r>
        <w:rPr>
          <w:rFonts w:asciiTheme="minorHAnsi" w:hAnsiTheme="minorHAnsi" w:cstheme="minorHAnsi"/>
          <w:color w:val="00B050"/>
          <w:sz w:val="24"/>
          <w:szCs w:val="24"/>
          <w:lang w:eastAsia="es-CO"/>
        </w:rPr>
        <w:t xml:space="preserve"> debe diseñar, implementar y mejorar un Plan Estratégico de Seguridad Vial nivel “avanzado”, se tendría aplicación a los 24 pasos. </w:t>
      </w:r>
    </w:p>
    <w:p w14:paraId="68CA19EA">
      <w:pPr>
        <w:spacing w:line="276" w:lineRule="auto"/>
        <w:rPr>
          <w:rFonts w:asciiTheme="minorHAnsi" w:hAnsiTheme="minorHAnsi" w:cstheme="minorHAnsi"/>
          <w:b/>
          <w:color w:val="00B050"/>
          <w:sz w:val="24"/>
          <w:szCs w:val="24"/>
        </w:rPr>
      </w:pPr>
    </w:p>
    <w:p w14:paraId="4EEBE842">
      <w:pPr>
        <w:pStyle w:val="3"/>
        <w:numPr>
          <w:ilvl w:val="1"/>
          <w:numId w:val="4"/>
        </w:numPr>
        <w:spacing w:after="0" w:line="276" w:lineRule="auto"/>
        <w:ind w:left="540" w:hanging="540"/>
        <w:rPr>
          <w:rFonts w:asciiTheme="minorHAnsi" w:hAnsiTheme="minorHAnsi" w:cstheme="minorHAnsi"/>
          <w:color w:val="auto"/>
          <w:sz w:val="24"/>
        </w:rPr>
      </w:pPr>
      <w:bookmarkStart w:id="9" w:name="_Toc519172492"/>
      <w:bookmarkStart w:id="10" w:name="_Toc188966773"/>
      <w:r>
        <w:rPr>
          <w:rFonts w:asciiTheme="minorHAnsi" w:hAnsiTheme="minorHAnsi" w:cstheme="minorHAnsi"/>
          <w:color w:val="auto"/>
          <w:sz w:val="24"/>
        </w:rPr>
        <w:t>ALCANCE</w:t>
      </w:r>
      <w:bookmarkEnd w:id="9"/>
      <w:bookmarkEnd w:id="10"/>
      <w:r>
        <w:rPr>
          <w:rFonts w:asciiTheme="minorHAnsi" w:hAnsiTheme="minorHAnsi" w:cstheme="minorHAnsi"/>
          <w:color w:val="auto"/>
          <w:sz w:val="24"/>
        </w:rPr>
        <w:t xml:space="preserve"> </w:t>
      </w:r>
    </w:p>
    <w:p w14:paraId="4B3A15A0">
      <w:pPr>
        <w:spacing w:line="276" w:lineRule="auto"/>
        <w:rPr>
          <w:rFonts w:asciiTheme="minorHAnsi" w:hAnsiTheme="minorHAnsi" w:cstheme="minorHAnsi"/>
          <w:sz w:val="24"/>
          <w:szCs w:val="24"/>
          <w:lang w:val="es-VE"/>
        </w:rPr>
      </w:pPr>
    </w:p>
    <w:p w14:paraId="0E5C7950">
      <w:pPr>
        <w:spacing w:line="276" w:lineRule="auto"/>
        <w:rPr>
          <w:rFonts w:eastAsia="Calibri" w:asciiTheme="minorHAnsi" w:hAnsiTheme="minorHAnsi" w:cstheme="minorHAnsi"/>
          <w:kern w:val="1"/>
          <w:sz w:val="24"/>
          <w:szCs w:val="24"/>
          <w:lang w:val="es-VE"/>
        </w:rPr>
      </w:pPr>
      <w:r>
        <w:rPr>
          <w:rFonts w:asciiTheme="minorHAnsi" w:hAnsiTheme="minorHAnsi" w:cstheme="minorHAnsi"/>
          <w:sz w:val="24"/>
          <w:szCs w:val="24"/>
          <w:lang w:eastAsia="es-CO"/>
        </w:rPr>
        <w:t xml:space="preserve">Este PLAN ESTRATÉGICO DE SEGURIDAD VIAL (En adelante: PESV) da cubrimiento a </w:t>
      </w:r>
      <w:r>
        <w:rPr>
          <w:rFonts w:eastAsia="Calibri" w:asciiTheme="minorHAnsi" w:hAnsiTheme="minorHAnsi" w:cstheme="minorHAnsi"/>
          <w:kern w:val="1"/>
          <w:sz w:val="24"/>
          <w:szCs w:val="24"/>
          <w:lang w:val="es-VE"/>
        </w:rPr>
        <w:t xml:space="preserve">las actividades viales que se ejecuten durante todos los procesos administrativos y operativos </w:t>
      </w:r>
      <w:r>
        <w:rPr>
          <w:rFonts w:asciiTheme="minorHAnsi" w:hAnsiTheme="minorHAnsi" w:cstheme="minorHAnsi"/>
          <w:sz w:val="24"/>
          <w:szCs w:val="24"/>
          <w:lang w:eastAsia="es-CO"/>
        </w:rPr>
        <w:t xml:space="preserve">desarrolladas por el </w:t>
      </w:r>
      <w:r>
        <w:rPr>
          <w:rFonts w:eastAsia="Calibri" w:asciiTheme="minorHAnsi" w:hAnsiTheme="minorHAnsi" w:cstheme="minorHAnsi"/>
          <w:bCs/>
          <w:sz w:val="24"/>
          <w:szCs w:val="24"/>
        </w:rPr>
        <w:t>Servicio Nacional de Aprendizaje SENA</w:t>
      </w:r>
      <w:r>
        <w:rPr>
          <w:rFonts w:asciiTheme="minorHAnsi" w:hAnsiTheme="minorHAnsi" w:cstheme="minorHAnsi"/>
          <w:sz w:val="24"/>
          <w:szCs w:val="24"/>
          <w:lang w:eastAsia="es-CO"/>
        </w:rPr>
        <w:t xml:space="preserve"> (En adelante: SENA), </w:t>
      </w:r>
      <w:r>
        <w:rPr>
          <w:rFonts w:eastAsia="Calibri" w:asciiTheme="minorHAnsi" w:hAnsiTheme="minorHAnsi" w:cstheme="minorHAnsi"/>
          <w:kern w:val="1"/>
          <w:sz w:val="24"/>
          <w:szCs w:val="24"/>
          <w:lang w:val="es-VE"/>
        </w:rPr>
        <w:t xml:space="preserve">relacionados </w:t>
      </w:r>
      <w:r>
        <w:rPr>
          <w:rFonts w:eastAsia="Calibri" w:asciiTheme="minorHAnsi" w:hAnsiTheme="minorHAnsi" w:cstheme="minorHAnsi"/>
          <w:sz w:val="24"/>
          <w:szCs w:val="24"/>
          <w:lang w:val="es-VE"/>
        </w:rPr>
        <w:t xml:space="preserve">a la planificación y ejecución de las actividades inherentes </w:t>
      </w:r>
      <w:r>
        <w:rPr>
          <w:rFonts w:eastAsia="Calibri" w:asciiTheme="minorHAnsi" w:hAnsiTheme="minorHAnsi" w:cstheme="minorHAnsi"/>
          <w:sz w:val="24"/>
          <w:szCs w:val="24"/>
        </w:rPr>
        <w:t>al desarrollo social y técnico de los trabajadores colombianos, ofreciendo y ejecutando la formación profesional integral, para la incorporación y el desarrollo de las personas en actividades productivas que contribuyan al</w:t>
      </w:r>
      <w:r>
        <w:rPr>
          <w:rFonts w:eastAsia="Calibri" w:asciiTheme="minorHAnsi" w:hAnsiTheme="minorHAnsi" w:cstheme="minorHAnsi"/>
          <w:kern w:val="1"/>
          <w:sz w:val="24"/>
          <w:szCs w:val="24"/>
          <w:lang w:val="es-VE"/>
        </w:rPr>
        <w:t xml:space="preserve"> </w:t>
      </w:r>
      <w:r>
        <w:rPr>
          <w:rFonts w:eastAsia="Calibri" w:asciiTheme="minorHAnsi" w:hAnsiTheme="minorHAnsi" w:cstheme="minorHAnsi"/>
          <w:sz w:val="24"/>
          <w:szCs w:val="24"/>
        </w:rPr>
        <w:t>desarrollo social, económico y tecnológico del país.</w:t>
      </w:r>
    </w:p>
    <w:p w14:paraId="0CA6B1E8">
      <w:pPr>
        <w:suppressAutoHyphens/>
        <w:spacing w:line="276" w:lineRule="auto"/>
        <w:ind w:left="426"/>
        <w:rPr>
          <w:rFonts w:asciiTheme="minorHAnsi" w:hAnsiTheme="minorHAnsi" w:cstheme="minorHAnsi"/>
          <w:sz w:val="24"/>
          <w:szCs w:val="24"/>
          <w:lang w:eastAsia="es-CO"/>
        </w:rPr>
      </w:pPr>
    </w:p>
    <w:p w14:paraId="7203BB77">
      <w:pPr>
        <w:suppressAutoHyphens/>
        <w:spacing w:line="276" w:lineRule="auto"/>
        <w:rPr>
          <w:rFonts w:asciiTheme="minorHAnsi" w:hAnsiTheme="minorHAnsi" w:cstheme="minorHAnsi"/>
          <w:sz w:val="24"/>
          <w:szCs w:val="24"/>
          <w:lang w:eastAsia="es-CO"/>
        </w:rPr>
      </w:pPr>
      <w:r>
        <w:rPr>
          <w:rFonts w:asciiTheme="minorHAnsi" w:hAnsiTheme="minorHAnsi" w:cstheme="minorHAnsi"/>
          <w:sz w:val="24"/>
          <w:szCs w:val="24"/>
          <w:lang w:eastAsia="es-CO"/>
        </w:rPr>
        <w:t>El SENA realiza las operaciones asociadas a transporte bajo el siguiente esquema:</w:t>
      </w:r>
    </w:p>
    <w:p w14:paraId="143BA830">
      <w:pPr>
        <w:suppressAutoHyphens/>
        <w:spacing w:line="276" w:lineRule="auto"/>
        <w:ind w:left="786"/>
        <w:rPr>
          <w:rFonts w:asciiTheme="minorHAnsi" w:hAnsiTheme="minorHAnsi" w:cstheme="minorHAnsi"/>
          <w:sz w:val="24"/>
          <w:szCs w:val="24"/>
          <w:lang w:eastAsia="es-CO"/>
        </w:rPr>
      </w:pPr>
    </w:p>
    <w:p w14:paraId="4FAFF8E7">
      <w:pPr>
        <w:numPr>
          <w:ilvl w:val="0"/>
          <w:numId w:val="5"/>
        </w:numPr>
        <w:suppressAutoHyphens/>
        <w:spacing w:line="276" w:lineRule="auto"/>
        <w:ind w:left="540" w:hanging="540"/>
        <w:rPr>
          <w:rFonts w:asciiTheme="minorHAnsi" w:hAnsiTheme="minorHAnsi" w:cstheme="minorHAnsi"/>
          <w:sz w:val="24"/>
          <w:szCs w:val="24"/>
          <w:lang w:eastAsia="es-CO"/>
        </w:rPr>
      </w:pPr>
      <w:r>
        <w:rPr>
          <w:rFonts w:asciiTheme="minorHAnsi" w:hAnsiTheme="minorHAnsi" w:cstheme="minorHAnsi"/>
          <w:sz w:val="24"/>
          <w:szCs w:val="24"/>
          <w:lang w:eastAsia="es-CO"/>
        </w:rPr>
        <w:t>En vehículos propios o bajo diversas modalidades de contrato.</w:t>
      </w:r>
    </w:p>
    <w:p w14:paraId="2CEC89FD">
      <w:pPr>
        <w:numPr>
          <w:ilvl w:val="0"/>
          <w:numId w:val="5"/>
        </w:numPr>
        <w:suppressAutoHyphens/>
        <w:spacing w:line="276" w:lineRule="auto"/>
        <w:ind w:left="540" w:hanging="540"/>
        <w:rPr>
          <w:rFonts w:asciiTheme="minorHAnsi" w:hAnsiTheme="minorHAnsi" w:cstheme="minorHAnsi"/>
          <w:sz w:val="24"/>
          <w:szCs w:val="24"/>
          <w:lang w:eastAsia="es-CO"/>
        </w:rPr>
      </w:pPr>
      <w:r>
        <w:rPr>
          <w:rFonts w:asciiTheme="minorHAnsi" w:hAnsiTheme="minorHAnsi" w:cstheme="minorHAnsi"/>
          <w:sz w:val="24"/>
          <w:szCs w:val="24"/>
          <w:lang w:eastAsia="es-CO"/>
        </w:rPr>
        <w:t xml:space="preserve">Por medio de empresas contratistas especializadas en cada uno de los servicios de transporte (En adelante: EL CONTRATISTA). En estos casos, el SENA hará exigible a EL CONTRATISTA el cumplimiento de los estándares establecidos en este PESV y el SENA establecerá los esquemas de control y seguimiento, acorde con lo establecido en el Paso 18 Gestión de contratistas. </w:t>
      </w:r>
    </w:p>
    <w:p w14:paraId="3501F4C9">
      <w:pPr>
        <w:suppressAutoHyphens/>
        <w:spacing w:line="276" w:lineRule="auto"/>
        <w:rPr>
          <w:rFonts w:asciiTheme="minorHAnsi" w:hAnsiTheme="minorHAnsi" w:cstheme="minorHAnsi"/>
          <w:sz w:val="24"/>
          <w:szCs w:val="24"/>
          <w:lang w:eastAsia="es-CO"/>
        </w:rPr>
      </w:pPr>
    </w:p>
    <w:p w14:paraId="6B08585B">
      <w:pPr>
        <w:pStyle w:val="3"/>
        <w:numPr>
          <w:ilvl w:val="1"/>
          <w:numId w:val="4"/>
        </w:numPr>
        <w:spacing w:after="0" w:line="276" w:lineRule="auto"/>
        <w:ind w:left="540" w:hanging="540"/>
        <w:rPr>
          <w:rFonts w:asciiTheme="minorHAnsi" w:hAnsiTheme="minorHAnsi" w:cstheme="minorHAnsi"/>
          <w:color w:val="auto"/>
          <w:sz w:val="24"/>
        </w:rPr>
      </w:pPr>
      <w:bookmarkStart w:id="11" w:name="_Toc519172494"/>
      <w:bookmarkStart w:id="12" w:name="_Toc188966774"/>
      <w:r>
        <w:rPr>
          <w:rFonts w:asciiTheme="minorHAnsi" w:hAnsiTheme="minorHAnsi" w:cstheme="minorHAnsi"/>
          <w:color w:val="auto"/>
          <w:sz w:val="24"/>
        </w:rPr>
        <w:t>VISIÓN DEL PESV</w:t>
      </w:r>
      <w:bookmarkEnd w:id="11"/>
      <w:bookmarkEnd w:id="12"/>
    </w:p>
    <w:p w14:paraId="3A32957E">
      <w:pPr>
        <w:pStyle w:val="2"/>
        <w:numPr>
          <w:ilvl w:val="0"/>
          <w:numId w:val="0"/>
        </w:numPr>
        <w:autoSpaceDE w:val="0"/>
        <w:autoSpaceDN w:val="0"/>
        <w:adjustRightInd w:val="0"/>
        <w:spacing w:after="0" w:line="276" w:lineRule="auto"/>
        <w:rPr>
          <w:rFonts w:asciiTheme="minorHAnsi" w:hAnsiTheme="minorHAnsi" w:cstheme="minorHAnsi"/>
          <w:sz w:val="24"/>
        </w:rPr>
      </w:pPr>
    </w:p>
    <w:p w14:paraId="419DD51F">
      <w:pPr>
        <w:spacing w:line="276" w:lineRule="auto"/>
        <w:rPr>
          <w:rFonts w:asciiTheme="minorHAnsi" w:hAnsiTheme="minorHAnsi" w:cstheme="minorHAnsi"/>
          <w:sz w:val="24"/>
          <w:szCs w:val="24"/>
        </w:rPr>
      </w:pPr>
      <w:r>
        <w:rPr>
          <w:rFonts w:asciiTheme="minorHAnsi" w:hAnsiTheme="minorHAnsi" w:cstheme="minorHAnsi"/>
          <w:sz w:val="24"/>
          <w:szCs w:val="24"/>
        </w:rPr>
        <w:t xml:space="preserve">El Servicio Nacional de Aprendizaje SENA, será reconocido por la efectividad de la gestión de sus riesgos viales asociados a los procesos administrativos y operativos misionales, mediante la implementación del PESV, impactando positivamente los indicadores de </w:t>
      </w:r>
      <w:r>
        <w:rPr>
          <w:rFonts w:asciiTheme="minorHAnsi" w:hAnsiTheme="minorHAnsi" w:cstheme="minorHAnsi"/>
          <w:color w:val="00B050"/>
          <w:sz w:val="24"/>
          <w:szCs w:val="24"/>
        </w:rPr>
        <w:t>siniestralidad</w:t>
      </w:r>
      <w:r>
        <w:rPr>
          <w:rFonts w:asciiTheme="minorHAnsi" w:hAnsiTheme="minorHAnsi" w:cstheme="minorHAnsi"/>
          <w:sz w:val="24"/>
          <w:szCs w:val="24"/>
        </w:rPr>
        <w:t xml:space="preserve"> de la institución, asegurando la integridad física de todos los funcionarios y servidores públicos.</w:t>
      </w:r>
    </w:p>
    <w:p w14:paraId="7252D820">
      <w:pPr>
        <w:spacing w:line="276" w:lineRule="auto"/>
        <w:rPr>
          <w:rFonts w:asciiTheme="minorHAnsi" w:hAnsiTheme="minorHAnsi" w:cstheme="minorHAnsi"/>
          <w:sz w:val="24"/>
          <w:szCs w:val="24"/>
        </w:rPr>
      </w:pPr>
    </w:p>
    <w:p w14:paraId="6EEE740E">
      <w:pPr>
        <w:pStyle w:val="3"/>
        <w:numPr>
          <w:ilvl w:val="1"/>
          <w:numId w:val="4"/>
        </w:numPr>
        <w:spacing w:after="0" w:line="276" w:lineRule="auto"/>
        <w:ind w:left="540" w:hanging="540"/>
        <w:rPr>
          <w:rFonts w:asciiTheme="minorHAnsi" w:hAnsiTheme="minorHAnsi" w:cstheme="minorHAnsi"/>
          <w:color w:val="auto"/>
          <w:sz w:val="24"/>
        </w:rPr>
      </w:pPr>
      <w:bookmarkStart w:id="13" w:name="_Toc519172497"/>
      <w:bookmarkStart w:id="14" w:name="_Toc188966775"/>
      <w:r>
        <w:rPr>
          <w:rFonts w:asciiTheme="minorHAnsi" w:hAnsiTheme="minorHAnsi" w:cstheme="minorHAnsi"/>
          <w:color w:val="auto"/>
          <w:sz w:val="24"/>
        </w:rPr>
        <w:t>INTEGRACIÓN DEL PESV CON EL SUB SISTEMA DE SEGURIDAD Y SALUD EN EL TRABAJO</w:t>
      </w:r>
      <w:bookmarkEnd w:id="13"/>
      <w:r>
        <w:rPr>
          <w:rFonts w:asciiTheme="minorHAnsi" w:hAnsiTheme="minorHAnsi" w:cstheme="minorHAnsi"/>
          <w:color w:val="auto"/>
          <w:sz w:val="24"/>
        </w:rPr>
        <w:t>.</w:t>
      </w:r>
      <w:bookmarkEnd w:id="14"/>
    </w:p>
    <w:p w14:paraId="4CE72F0D">
      <w:pPr>
        <w:spacing w:line="276" w:lineRule="auto"/>
        <w:rPr>
          <w:rFonts w:asciiTheme="minorHAnsi" w:hAnsiTheme="minorHAnsi" w:cstheme="minorHAnsi"/>
          <w:sz w:val="24"/>
          <w:szCs w:val="24"/>
          <w:lang w:eastAsia="en-US"/>
        </w:rPr>
      </w:pPr>
    </w:p>
    <w:p w14:paraId="5C04EA33">
      <w:pPr>
        <w:autoSpaceDE w:val="0"/>
        <w:autoSpaceDN w:val="0"/>
        <w:adjustRightInd w:val="0"/>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 xml:space="preserve">La Dirección del Servicio Nacional de Aprendizaje -SENA- acoge lo establecido en la </w:t>
      </w:r>
      <w:r>
        <w:rPr>
          <w:rFonts w:eastAsia="Calibri" w:asciiTheme="minorHAnsi" w:hAnsiTheme="minorHAnsi" w:cstheme="minorHAnsi"/>
          <w:color w:val="00B050"/>
          <w:sz w:val="24"/>
          <w:szCs w:val="24"/>
          <w:lang w:eastAsia="en-US"/>
        </w:rPr>
        <w:t xml:space="preserve">Resolución 0312 de 2019 </w:t>
      </w:r>
      <w:r>
        <w:rPr>
          <w:rFonts w:eastAsia="Calibri" w:asciiTheme="minorHAnsi" w:hAnsiTheme="minorHAnsi" w:cstheme="minorHAnsi"/>
          <w:sz w:val="24"/>
          <w:szCs w:val="24"/>
          <w:lang w:eastAsia="en-US"/>
        </w:rPr>
        <w:t xml:space="preserve">del ministerio del trabajo en su artículo </w:t>
      </w:r>
      <w:r>
        <w:rPr>
          <w:rFonts w:eastAsia="Calibri" w:asciiTheme="minorHAnsi" w:hAnsiTheme="minorHAnsi" w:cstheme="minorHAnsi"/>
          <w:color w:val="00B050"/>
          <w:sz w:val="24"/>
          <w:szCs w:val="24"/>
          <w:lang w:eastAsia="en-US"/>
        </w:rPr>
        <w:t>32</w:t>
      </w:r>
      <w:r>
        <w:rPr>
          <w:rFonts w:eastAsia="Calibri" w:asciiTheme="minorHAnsi" w:hAnsiTheme="minorHAnsi" w:cstheme="minorHAnsi"/>
          <w:sz w:val="24"/>
          <w:szCs w:val="24"/>
          <w:lang w:eastAsia="en-US"/>
        </w:rPr>
        <w:t xml:space="preserve"> </w:t>
      </w:r>
      <w:r>
        <w:rPr>
          <w:rFonts w:eastAsia="Calibri" w:asciiTheme="minorHAnsi" w:hAnsiTheme="minorHAnsi" w:cstheme="minorHAnsi"/>
          <w:color w:val="00B050"/>
          <w:sz w:val="24"/>
          <w:szCs w:val="24"/>
          <w:lang w:eastAsia="en-US"/>
        </w:rPr>
        <w:t>y la Resolución 40595 de 2022 las cuales establecen la que todo empleador o contratante que se encuentre obligado a implementar un Plan Estratégico Seguridad Vial, deberá articularlo con el sistema de gestión en seguridad y salud en el trabajo, por tanto el PESV hace</w:t>
      </w:r>
      <w:r>
        <w:rPr>
          <w:rFonts w:eastAsia="Calibri" w:asciiTheme="minorHAnsi" w:hAnsiTheme="minorHAnsi" w:cstheme="minorHAnsi"/>
          <w:sz w:val="24"/>
          <w:szCs w:val="24"/>
          <w:lang w:eastAsia="en-US"/>
        </w:rPr>
        <w:t xml:space="preserve"> parte del Subsistema de Seguridad y Salud en el Trabajo y también del proceso estratégico en la entidad.</w:t>
      </w:r>
    </w:p>
    <w:p w14:paraId="78D3C30B">
      <w:pPr>
        <w:spacing w:line="276" w:lineRule="auto"/>
        <w:rPr>
          <w:rFonts w:asciiTheme="minorHAnsi" w:hAnsiTheme="minorHAnsi" w:cstheme="minorHAnsi"/>
          <w:sz w:val="24"/>
          <w:szCs w:val="24"/>
        </w:rPr>
      </w:pPr>
    </w:p>
    <w:p w14:paraId="5F05D1A3">
      <w:pPr>
        <w:spacing w:line="276" w:lineRule="auto"/>
        <w:rPr>
          <w:rFonts w:asciiTheme="minorHAnsi" w:hAnsiTheme="minorHAnsi" w:cstheme="minorHAnsi"/>
          <w:sz w:val="24"/>
          <w:szCs w:val="24"/>
          <w:lang w:eastAsia="en-US"/>
        </w:rPr>
      </w:pPr>
    </w:p>
    <w:p w14:paraId="5EFD3A9B">
      <w:pPr>
        <w:pStyle w:val="2"/>
        <w:numPr>
          <w:ilvl w:val="0"/>
          <w:numId w:val="4"/>
        </w:numPr>
        <w:spacing w:after="0" w:line="276" w:lineRule="auto"/>
        <w:rPr>
          <w:rFonts w:asciiTheme="minorHAnsi" w:hAnsiTheme="minorHAnsi" w:cstheme="minorHAnsi"/>
          <w:b w:val="0"/>
          <w:bCs/>
          <w:sz w:val="24"/>
        </w:rPr>
      </w:pPr>
      <w:bookmarkStart w:id="15" w:name="_Toc188966776"/>
      <w:r>
        <w:rPr>
          <w:rFonts w:asciiTheme="minorHAnsi" w:hAnsiTheme="minorHAnsi" w:cstheme="minorHAnsi"/>
          <w:color w:val="000000" w:themeColor="text1"/>
          <w:sz w:val="24"/>
          <w14:textFill>
            <w14:solidFill>
              <w14:schemeClr w14:val="tx1"/>
            </w14:solidFill>
          </w14:textFill>
        </w:rPr>
        <w:t>PLANIFICACIÓN PLAN ESTRATEGICO DE SEGURIDAD VIAL PESV</w:t>
      </w:r>
      <w:bookmarkEnd w:id="15"/>
    </w:p>
    <w:p w14:paraId="50327DA4">
      <w:pPr>
        <w:pStyle w:val="3"/>
        <w:numPr>
          <w:ilvl w:val="1"/>
          <w:numId w:val="4"/>
        </w:numPr>
        <w:spacing w:after="0" w:line="276" w:lineRule="auto"/>
        <w:ind w:left="540" w:hanging="540"/>
        <w:rPr>
          <w:rFonts w:asciiTheme="minorHAnsi" w:hAnsiTheme="minorHAnsi" w:cstheme="minorHAnsi"/>
          <w:color w:val="auto"/>
          <w:sz w:val="24"/>
        </w:rPr>
      </w:pPr>
      <w:bookmarkStart w:id="16" w:name="_Toc188966777"/>
      <w:r>
        <w:rPr>
          <w:rFonts w:asciiTheme="minorHAnsi" w:hAnsiTheme="minorHAnsi" w:cstheme="minorHAnsi"/>
          <w:color w:val="auto"/>
          <w:sz w:val="24"/>
        </w:rPr>
        <w:t>LÍDER PLAN ESTRATEGICO DE SEGURIDAD VIAL</w:t>
      </w:r>
      <w:bookmarkEnd w:id="16"/>
    </w:p>
    <w:p w14:paraId="75146323">
      <w:pPr>
        <w:spacing w:line="276" w:lineRule="auto"/>
        <w:rPr>
          <w:rFonts w:asciiTheme="minorHAnsi" w:hAnsiTheme="minorHAnsi" w:cstheme="minorHAnsi"/>
          <w:b/>
          <w:bCs/>
          <w:sz w:val="24"/>
          <w:szCs w:val="24"/>
        </w:rPr>
      </w:pPr>
    </w:p>
    <w:p w14:paraId="64CAFFC7">
      <w:pPr>
        <w:spacing w:line="276" w:lineRule="auto"/>
        <w:rPr>
          <w:rFonts w:asciiTheme="minorHAnsi" w:hAnsiTheme="minorHAnsi" w:cstheme="minorHAnsi"/>
          <w:color w:val="00B050"/>
          <w:sz w:val="24"/>
          <w:szCs w:val="24"/>
        </w:rPr>
      </w:pPr>
      <w:r>
        <w:rPr>
          <w:rFonts w:asciiTheme="minorHAnsi" w:hAnsiTheme="minorHAnsi" w:cstheme="minorHAnsi"/>
          <w:color w:val="00B050"/>
          <w:sz w:val="24"/>
          <w:szCs w:val="24"/>
        </w:rPr>
        <w:t xml:space="preserve">La Secretaría General, como responsable del proceso de Gestión del Talento Humano y a través del Grupo de Seguridad y Salud en el Trabajo, será la responsable del validar periódicamente el cumplimiento de los lineamientos establecidos en el presente documento. </w:t>
      </w:r>
    </w:p>
    <w:p w14:paraId="76342168">
      <w:pPr>
        <w:spacing w:line="276" w:lineRule="auto"/>
        <w:rPr>
          <w:rFonts w:asciiTheme="minorHAnsi" w:hAnsiTheme="minorHAnsi" w:cstheme="minorHAnsi"/>
          <w:color w:val="00B050"/>
          <w:sz w:val="24"/>
          <w:szCs w:val="24"/>
        </w:rPr>
      </w:pPr>
      <w:r>
        <w:rPr>
          <w:rFonts w:asciiTheme="minorHAnsi" w:hAnsiTheme="minorHAnsi" w:cstheme="minorHAnsi"/>
          <w:color w:val="00B050"/>
          <w:sz w:val="24"/>
          <w:szCs w:val="24"/>
        </w:rPr>
        <w:t xml:space="preserve"> </w:t>
      </w:r>
    </w:p>
    <w:p w14:paraId="7D5213A9">
      <w:pPr>
        <w:spacing w:line="276" w:lineRule="auto"/>
        <w:rPr>
          <w:rFonts w:asciiTheme="minorHAnsi" w:hAnsiTheme="minorHAnsi" w:cstheme="minorHAnsi"/>
          <w:bCs/>
          <w:iCs/>
          <w:sz w:val="24"/>
          <w:szCs w:val="24"/>
        </w:rPr>
      </w:pPr>
      <w:r>
        <w:rPr>
          <w:rFonts w:asciiTheme="minorHAnsi" w:hAnsiTheme="minorHAnsi" w:cstheme="minorHAnsi"/>
          <w:bCs/>
          <w:iCs/>
          <w:sz w:val="24"/>
          <w:szCs w:val="24"/>
        </w:rPr>
        <w:t>La asignación formal del</w:t>
      </w:r>
      <w:r>
        <w:rPr>
          <w:rFonts w:asciiTheme="minorHAnsi" w:hAnsiTheme="minorHAnsi" w:cstheme="minorHAnsi"/>
          <w:bCs/>
          <w:iCs/>
          <w:color w:val="00B050"/>
          <w:sz w:val="24"/>
          <w:szCs w:val="24"/>
        </w:rPr>
        <w:t xml:space="preserve"> Líder</w:t>
      </w:r>
      <w:r>
        <w:rPr>
          <w:rFonts w:asciiTheme="minorHAnsi" w:hAnsiTheme="minorHAnsi" w:cstheme="minorHAnsi"/>
          <w:bCs/>
          <w:iCs/>
          <w:sz w:val="24"/>
          <w:szCs w:val="24"/>
        </w:rPr>
        <w:t xml:space="preserve"> del PESV será responsabilidad de la coordinación nacional del grupo de Seguridad y Salud en el Trabajo, para lo cual deberá contar con un profesional que emitirá los lineamientos, será responsable de liderar el diseño, la implementación, seguimiento, plan de trabajo y evaluación de las actividades definidas en el PESV y delegará representantes de apoyo al cumplimiento de funciones del Líder del PESV en las diferentes regionales.</w:t>
      </w:r>
    </w:p>
    <w:p w14:paraId="4C9B4FD2">
      <w:pPr>
        <w:spacing w:line="276" w:lineRule="auto"/>
        <w:rPr>
          <w:rFonts w:asciiTheme="minorHAnsi" w:hAnsiTheme="minorHAnsi" w:cstheme="minorHAnsi"/>
          <w:color w:val="00B050"/>
          <w:sz w:val="24"/>
          <w:szCs w:val="24"/>
        </w:rPr>
      </w:pPr>
    </w:p>
    <w:p w14:paraId="424E8EF6">
      <w:pPr>
        <w:spacing w:line="276" w:lineRule="auto"/>
        <w:rPr>
          <w:rFonts w:asciiTheme="minorHAnsi" w:hAnsiTheme="minorHAnsi" w:cstheme="minorHAnsi"/>
          <w:bCs/>
          <w:iCs/>
          <w:sz w:val="24"/>
          <w:szCs w:val="24"/>
        </w:rPr>
      </w:pPr>
      <w:r>
        <w:rPr>
          <w:rFonts w:asciiTheme="minorHAnsi" w:hAnsiTheme="minorHAnsi" w:cstheme="minorHAnsi"/>
          <w:bCs/>
          <w:iCs/>
          <w:sz w:val="24"/>
          <w:szCs w:val="24"/>
          <w:lang w:val="es-VE"/>
        </w:rPr>
        <w:t xml:space="preserve">La entidad </w:t>
      </w:r>
      <w:r>
        <w:rPr>
          <w:rFonts w:asciiTheme="minorHAnsi" w:hAnsiTheme="minorHAnsi" w:cstheme="minorHAnsi"/>
          <w:bCs/>
          <w:iCs/>
          <w:sz w:val="24"/>
          <w:szCs w:val="24"/>
        </w:rPr>
        <w:t>define como líder del Plan Estratégico de Seguridad Vial, basados en la resolución</w:t>
      </w:r>
      <w:r>
        <w:rPr>
          <w:rFonts w:asciiTheme="minorHAnsi" w:hAnsiTheme="minorHAnsi" w:cstheme="minorHAnsi"/>
          <w:bCs/>
          <w:iCs/>
          <w:color w:val="00B050"/>
          <w:sz w:val="24"/>
          <w:szCs w:val="24"/>
        </w:rPr>
        <w:t xml:space="preserve"> 0312 de 2019</w:t>
      </w:r>
      <w:r>
        <w:rPr>
          <w:rFonts w:asciiTheme="minorHAnsi" w:hAnsiTheme="minorHAnsi" w:cstheme="minorHAnsi"/>
          <w:bCs/>
          <w:iCs/>
          <w:sz w:val="24"/>
          <w:szCs w:val="24"/>
        </w:rPr>
        <w:t xml:space="preserve"> emitida por el Ministerio del Trabajo en su artículo </w:t>
      </w:r>
      <w:r>
        <w:rPr>
          <w:rFonts w:asciiTheme="minorHAnsi" w:hAnsiTheme="minorHAnsi" w:cstheme="minorHAnsi"/>
          <w:bCs/>
          <w:iCs/>
          <w:color w:val="00B050"/>
          <w:sz w:val="24"/>
          <w:szCs w:val="24"/>
        </w:rPr>
        <w:t>32</w:t>
      </w:r>
      <w:r>
        <w:rPr>
          <w:rFonts w:asciiTheme="minorHAnsi" w:hAnsiTheme="minorHAnsi" w:cstheme="minorHAnsi"/>
          <w:bCs/>
          <w:iCs/>
          <w:sz w:val="24"/>
          <w:szCs w:val="24"/>
        </w:rPr>
        <w:t xml:space="preserve"> y </w:t>
      </w:r>
      <w:r>
        <w:rPr>
          <w:rFonts w:asciiTheme="minorHAnsi" w:hAnsiTheme="minorHAnsi" w:cstheme="minorHAnsi"/>
          <w:bCs/>
          <w:iCs/>
          <w:color w:val="00B050"/>
          <w:sz w:val="24"/>
          <w:szCs w:val="24"/>
        </w:rPr>
        <w:t xml:space="preserve">la resolución 40595 de 2022 emitida por el Ministerio de transporte en el Paso 1 </w:t>
      </w:r>
      <w:r>
        <w:rPr>
          <w:rFonts w:asciiTheme="minorHAnsi" w:hAnsiTheme="minorHAnsi" w:cstheme="minorHAnsi"/>
          <w:bCs/>
          <w:iCs/>
          <w:sz w:val="24"/>
          <w:szCs w:val="24"/>
        </w:rPr>
        <w:t xml:space="preserve">para garantizar la articulación con el sistema: </w:t>
      </w:r>
    </w:p>
    <w:p w14:paraId="5ACF432A">
      <w:pPr>
        <w:spacing w:line="276" w:lineRule="auto"/>
        <w:rPr>
          <w:rFonts w:asciiTheme="minorHAnsi" w:hAnsiTheme="minorHAnsi" w:cstheme="minorHAnsi"/>
          <w:b/>
          <w:sz w:val="24"/>
          <w:szCs w:val="24"/>
        </w:rPr>
      </w:pPr>
    </w:p>
    <w:p w14:paraId="5C508D41">
      <w:pPr>
        <w:spacing w:line="276" w:lineRule="auto"/>
        <w:rPr>
          <w:rFonts w:asciiTheme="minorHAnsi" w:hAnsiTheme="minorHAnsi" w:cstheme="minorHAnsi"/>
          <w:sz w:val="24"/>
          <w:szCs w:val="24"/>
        </w:rPr>
      </w:pPr>
      <w:r>
        <w:rPr>
          <w:rFonts w:asciiTheme="minorHAnsi" w:hAnsiTheme="minorHAnsi" w:cstheme="minorHAnsi"/>
          <w:b/>
          <w:sz w:val="24"/>
          <w:szCs w:val="24"/>
        </w:rPr>
        <w:t xml:space="preserve">Cargo: </w:t>
      </w:r>
      <w:r>
        <w:rPr>
          <w:rFonts w:asciiTheme="minorHAnsi" w:hAnsiTheme="minorHAnsi" w:cstheme="minorHAnsi"/>
          <w:b/>
          <w:sz w:val="24"/>
          <w:szCs w:val="24"/>
        </w:rPr>
        <w:tab/>
      </w:r>
      <w:r>
        <w:rPr>
          <w:rFonts w:asciiTheme="minorHAnsi" w:hAnsiTheme="minorHAnsi" w:cstheme="minorHAnsi"/>
          <w:b/>
          <w:sz w:val="24"/>
          <w:szCs w:val="24"/>
        </w:rPr>
        <w:tab/>
      </w:r>
      <w:r>
        <w:rPr>
          <w:rFonts w:asciiTheme="minorHAnsi" w:hAnsiTheme="minorHAnsi" w:cstheme="minorHAnsi"/>
          <w:sz w:val="24"/>
          <w:szCs w:val="24"/>
        </w:rPr>
        <w:t>Delegado del Grupo de Seguridad y Salud en el Trabajo</w:t>
      </w:r>
    </w:p>
    <w:p w14:paraId="1947DF24">
      <w:pPr>
        <w:spacing w:line="276" w:lineRule="auto"/>
        <w:rPr>
          <w:rFonts w:asciiTheme="minorHAnsi" w:hAnsiTheme="minorHAnsi" w:cstheme="minorHAnsi"/>
          <w:bCs/>
          <w:iCs/>
          <w:sz w:val="24"/>
          <w:szCs w:val="24"/>
        </w:rPr>
      </w:pPr>
      <w:r>
        <w:rPr>
          <w:rFonts w:asciiTheme="minorHAnsi" w:hAnsiTheme="minorHAnsi" w:cstheme="minorHAnsi"/>
          <w:b/>
          <w:sz w:val="24"/>
          <w:szCs w:val="24"/>
        </w:rPr>
        <w:t>Teléfono:</w:t>
      </w:r>
      <w:r>
        <w:rPr>
          <w:rFonts w:asciiTheme="minorHAnsi" w:hAnsiTheme="minorHAnsi" w:cstheme="minorHAnsi"/>
          <w:b/>
          <w:sz w:val="24"/>
          <w:szCs w:val="24"/>
        </w:rPr>
        <w:tab/>
      </w:r>
      <w:r>
        <w:rPr>
          <w:rFonts w:asciiTheme="minorHAnsi" w:hAnsiTheme="minorHAnsi" w:cstheme="minorHAnsi"/>
          <w:sz w:val="24"/>
          <w:szCs w:val="24"/>
        </w:rPr>
        <w:t>5461500 IP 13536</w:t>
      </w:r>
    </w:p>
    <w:p w14:paraId="75482A76">
      <w:pPr>
        <w:rPr>
          <w:rFonts w:asciiTheme="minorHAnsi" w:hAnsiTheme="minorHAnsi" w:cstheme="minorHAnsi"/>
          <w:bCs/>
          <w:iCs/>
          <w:sz w:val="24"/>
          <w:szCs w:val="24"/>
        </w:rPr>
      </w:pPr>
    </w:p>
    <w:p w14:paraId="42CEEBAF">
      <w:pPr>
        <w:spacing w:line="276" w:lineRule="auto"/>
        <w:rPr>
          <w:rFonts w:asciiTheme="minorHAnsi" w:hAnsiTheme="minorHAnsi" w:cstheme="minorHAnsi"/>
          <w:bCs/>
          <w:iCs/>
          <w:color w:val="00B050"/>
          <w:sz w:val="24"/>
          <w:szCs w:val="24"/>
        </w:rPr>
      </w:pPr>
      <w:r>
        <w:rPr>
          <w:rFonts w:asciiTheme="minorHAnsi" w:hAnsiTheme="minorHAnsi" w:cstheme="minorHAnsi"/>
          <w:bCs/>
          <w:iCs/>
          <w:color w:val="00B050"/>
          <w:sz w:val="24"/>
          <w:szCs w:val="24"/>
        </w:rPr>
        <w:t xml:space="preserve">La designación de delegados del PESV en las diferentes regionales se definirá bajo los siguientes parámetros: </w:t>
      </w:r>
    </w:p>
    <w:p w14:paraId="508F2FC4">
      <w:pPr>
        <w:spacing w:line="276" w:lineRule="auto"/>
        <w:rPr>
          <w:rFonts w:asciiTheme="minorHAnsi" w:hAnsiTheme="minorHAnsi" w:cstheme="minorHAnsi"/>
          <w:bCs/>
          <w:iCs/>
          <w:sz w:val="24"/>
          <w:szCs w:val="24"/>
        </w:rPr>
      </w:pPr>
    </w:p>
    <w:p w14:paraId="7DE3F59A">
      <w:pPr>
        <w:spacing w:line="276" w:lineRule="auto"/>
        <w:rPr>
          <w:rFonts w:asciiTheme="minorHAnsi" w:hAnsiTheme="minorHAnsi" w:cstheme="minorHAnsi"/>
          <w:bCs/>
          <w:iCs/>
          <w:sz w:val="24"/>
          <w:szCs w:val="24"/>
        </w:rPr>
      </w:pPr>
      <w:r>
        <w:rPr>
          <w:rFonts w:asciiTheme="minorHAnsi" w:hAnsiTheme="minorHAnsi" w:cstheme="minorHAnsi"/>
          <w:bCs/>
          <w:iCs/>
          <w:color w:val="00B050"/>
          <w:sz w:val="24"/>
          <w:szCs w:val="24"/>
          <w:highlight w:val="yellow"/>
        </w:rPr>
        <w:t>Definir parámetros de los delegados</w:t>
      </w:r>
      <w:r>
        <w:rPr>
          <w:rFonts w:asciiTheme="minorHAnsi" w:hAnsiTheme="minorHAnsi" w:cstheme="minorHAnsi"/>
          <w:bCs/>
          <w:iCs/>
          <w:color w:val="00B050"/>
          <w:sz w:val="24"/>
          <w:szCs w:val="24"/>
        </w:rPr>
        <w:t xml:space="preserve"> </w:t>
      </w:r>
      <w:r>
        <w:rPr>
          <w:rFonts w:asciiTheme="minorHAnsi" w:hAnsiTheme="minorHAnsi" w:cstheme="minorHAnsi"/>
          <w:bCs/>
          <w:iCs/>
          <w:sz w:val="24"/>
          <w:szCs w:val="24"/>
        </w:rPr>
        <w:t xml:space="preserve">  </w:t>
      </w:r>
    </w:p>
    <w:p w14:paraId="2CFCE520">
      <w:pPr>
        <w:spacing w:line="276" w:lineRule="auto"/>
        <w:rPr>
          <w:rFonts w:asciiTheme="minorHAnsi" w:hAnsiTheme="minorHAnsi" w:cstheme="minorHAnsi"/>
          <w:bCs/>
          <w:iCs/>
          <w:sz w:val="24"/>
          <w:szCs w:val="24"/>
        </w:rPr>
      </w:pPr>
    </w:p>
    <w:p w14:paraId="6F8FBCF4">
      <w:pPr>
        <w:spacing w:line="276" w:lineRule="auto"/>
        <w:rPr>
          <w:rFonts w:asciiTheme="minorHAnsi" w:hAnsiTheme="minorHAnsi" w:cstheme="minorHAnsi"/>
          <w:b/>
          <w:iCs/>
          <w:sz w:val="24"/>
          <w:szCs w:val="24"/>
        </w:rPr>
      </w:pPr>
      <w:r>
        <w:rPr>
          <w:rFonts w:asciiTheme="minorHAnsi" w:hAnsiTheme="minorHAnsi" w:cstheme="minorHAnsi"/>
          <w:b/>
          <w:iCs/>
          <w:sz w:val="24"/>
          <w:szCs w:val="24"/>
        </w:rPr>
        <w:t>Anexo 1. Acta de designación Líder PESV</w:t>
      </w:r>
    </w:p>
    <w:p w14:paraId="357855AF">
      <w:pPr>
        <w:spacing w:line="276" w:lineRule="auto"/>
        <w:rPr>
          <w:rFonts w:asciiTheme="minorHAnsi" w:hAnsiTheme="minorHAnsi" w:cstheme="minorHAnsi"/>
          <w:bCs/>
          <w:iCs/>
          <w:sz w:val="24"/>
          <w:szCs w:val="24"/>
        </w:rPr>
      </w:pPr>
    </w:p>
    <w:p w14:paraId="647BEDAB">
      <w:pPr>
        <w:pStyle w:val="4"/>
        <w:numPr>
          <w:ilvl w:val="2"/>
          <w:numId w:val="6"/>
        </w:numPr>
        <w:spacing w:before="0"/>
        <w:rPr>
          <w:rFonts w:asciiTheme="minorHAnsi" w:hAnsiTheme="minorHAnsi" w:cstheme="minorHAnsi"/>
          <w:sz w:val="24"/>
          <w:szCs w:val="24"/>
        </w:rPr>
      </w:pPr>
      <w:bookmarkStart w:id="17" w:name="_Toc188966778"/>
      <w:r>
        <w:rPr>
          <w:rFonts w:asciiTheme="minorHAnsi" w:hAnsiTheme="minorHAnsi" w:cstheme="minorHAnsi"/>
          <w:sz w:val="24"/>
          <w:szCs w:val="24"/>
        </w:rPr>
        <w:t>Idoneidad del Líder del PESV</w:t>
      </w:r>
      <w:bookmarkEnd w:id="17"/>
    </w:p>
    <w:p w14:paraId="0159A3D3">
      <w:pPr>
        <w:spacing w:line="276" w:lineRule="auto"/>
        <w:rPr>
          <w:rFonts w:asciiTheme="minorHAnsi" w:hAnsiTheme="minorHAnsi" w:cstheme="minorHAnsi"/>
          <w:b/>
          <w:bCs/>
          <w:iCs/>
          <w:sz w:val="24"/>
          <w:szCs w:val="24"/>
        </w:rPr>
      </w:pPr>
    </w:p>
    <w:p w14:paraId="66EE7BF0">
      <w:pPr>
        <w:spacing w:line="276" w:lineRule="auto"/>
        <w:rPr>
          <w:rFonts w:asciiTheme="minorHAnsi" w:hAnsiTheme="minorHAnsi" w:cstheme="minorHAnsi"/>
          <w:bCs/>
          <w:iCs/>
          <w:sz w:val="24"/>
          <w:szCs w:val="24"/>
        </w:rPr>
      </w:pPr>
      <w:r>
        <w:rPr>
          <w:rFonts w:asciiTheme="minorHAnsi" w:hAnsiTheme="minorHAnsi" w:cstheme="minorHAnsi"/>
          <w:bCs/>
          <w:iCs/>
          <w:sz w:val="24"/>
          <w:szCs w:val="24"/>
        </w:rPr>
        <w:t xml:space="preserve">El </w:t>
      </w:r>
      <w:r>
        <w:rPr>
          <w:rFonts w:asciiTheme="minorHAnsi" w:hAnsiTheme="minorHAnsi" w:cstheme="minorHAnsi"/>
          <w:bCs/>
          <w:iCs/>
          <w:color w:val="00B050"/>
          <w:sz w:val="24"/>
          <w:szCs w:val="24"/>
        </w:rPr>
        <w:t>Líder</w:t>
      </w:r>
      <w:r>
        <w:rPr>
          <w:rFonts w:asciiTheme="minorHAnsi" w:hAnsiTheme="minorHAnsi" w:cstheme="minorHAnsi"/>
          <w:bCs/>
          <w:iCs/>
          <w:sz w:val="24"/>
          <w:szCs w:val="24"/>
        </w:rPr>
        <w:t xml:space="preserve"> del PESV, debe disponer de las certificaciones, perfil y experiencia que avalen su idoneidad para la gestión, planeación y coordinación a nivel nacional del PESV, acorde con lo indicado en el numeral </w:t>
      </w:r>
      <w:r>
        <w:rPr>
          <w:rFonts w:asciiTheme="minorHAnsi" w:hAnsiTheme="minorHAnsi" w:cstheme="minorHAnsi"/>
          <w:bCs/>
          <w:iCs/>
          <w:sz w:val="24"/>
          <w:szCs w:val="24"/>
          <w:highlight w:val="yellow"/>
        </w:rPr>
        <w:t>xxx</w:t>
      </w:r>
      <w:r>
        <w:rPr>
          <w:rFonts w:asciiTheme="minorHAnsi" w:hAnsiTheme="minorHAnsi" w:cstheme="minorHAnsi"/>
          <w:bCs/>
          <w:iCs/>
          <w:sz w:val="24"/>
          <w:szCs w:val="24"/>
        </w:rPr>
        <w:t xml:space="preserve"> de este documento, entre otros deberá contar con licencia de Seguridad y Salud en el Trabajo y curso de 50 horas exigido por la ley.</w:t>
      </w:r>
    </w:p>
    <w:p w14:paraId="70B6734D">
      <w:pPr>
        <w:spacing w:line="276" w:lineRule="auto"/>
        <w:rPr>
          <w:rFonts w:asciiTheme="minorHAnsi" w:hAnsiTheme="minorHAnsi" w:cstheme="minorHAnsi"/>
          <w:b/>
          <w:bCs/>
          <w:sz w:val="24"/>
          <w:szCs w:val="24"/>
        </w:rPr>
      </w:pPr>
    </w:p>
    <w:p w14:paraId="7319E9B5">
      <w:pPr>
        <w:pStyle w:val="3"/>
        <w:numPr>
          <w:ilvl w:val="1"/>
          <w:numId w:val="4"/>
        </w:numPr>
        <w:spacing w:after="0" w:line="276" w:lineRule="auto"/>
        <w:ind w:left="540" w:hanging="540"/>
        <w:rPr>
          <w:rFonts w:asciiTheme="minorHAnsi" w:hAnsiTheme="minorHAnsi" w:cstheme="minorHAnsi"/>
          <w:color w:val="auto"/>
          <w:sz w:val="24"/>
        </w:rPr>
      </w:pPr>
      <w:bookmarkStart w:id="18" w:name="_Toc188966779"/>
      <w:r>
        <w:rPr>
          <w:rFonts w:asciiTheme="minorHAnsi" w:hAnsiTheme="minorHAnsi" w:cstheme="minorHAnsi"/>
          <w:color w:val="auto"/>
          <w:sz w:val="24"/>
        </w:rPr>
        <w:t>COMITÉ DE SEGURIDAD VIAL</w:t>
      </w:r>
      <w:bookmarkEnd w:id="18"/>
    </w:p>
    <w:p w14:paraId="42D23305">
      <w:pPr>
        <w:autoSpaceDE w:val="0"/>
        <w:autoSpaceDN w:val="0"/>
        <w:adjustRightInd w:val="0"/>
        <w:spacing w:line="276" w:lineRule="auto"/>
        <w:rPr>
          <w:rFonts w:eastAsia="Calibri" w:asciiTheme="minorHAnsi" w:hAnsiTheme="minorHAnsi" w:cstheme="minorHAnsi"/>
          <w:color w:val="00B050"/>
          <w:sz w:val="24"/>
          <w:szCs w:val="24"/>
          <w:lang w:eastAsia="en-US"/>
        </w:rPr>
      </w:pPr>
      <w:r>
        <w:rPr>
          <w:rFonts w:asciiTheme="minorHAnsi" w:hAnsiTheme="minorHAnsi" w:cstheme="minorHAnsi"/>
          <w:color w:val="00B050"/>
          <w:sz w:val="24"/>
          <w:szCs w:val="24"/>
        </w:rPr>
        <w:t xml:space="preserve">El comité Nacional de Seguridad Vial-CNSV, será el ente encargado de apoyar el diseño, implementación, seguimiento y mejora del Plan Estratégico de Seguridad Vial, influenciando y promoviendo en la comunidad de la organización la formación de hábitos, comportamientos interdependientes y conductas seguras en la vía, y en consecuencia, la formación de criterios autónomos, solidarios y prudentes para la toma de decisiones en situaciones de desplazamiento o de uso de las vías para el cumplimiento de los objetivos en materia de seguridad vial. </w:t>
      </w:r>
    </w:p>
    <w:p w14:paraId="61B57AC3">
      <w:pPr>
        <w:spacing w:line="276" w:lineRule="auto"/>
        <w:rPr>
          <w:rFonts w:asciiTheme="minorHAnsi" w:hAnsiTheme="minorHAnsi" w:cstheme="minorHAnsi"/>
          <w:b/>
          <w:bCs/>
          <w:sz w:val="24"/>
          <w:szCs w:val="24"/>
        </w:rPr>
      </w:pPr>
    </w:p>
    <w:p w14:paraId="1C58425D">
      <w:pPr>
        <w:pStyle w:val="51"/>
        <w:numPr>
          <w:ilvl w:val="0"/>
          <w:numId w:val="7"/>
        </w:numPr>
        <w:rPr>
          <w:b/>
          <w:bCs/>
        </w:rPr>
      </w:pPr>
      <w:bookmarkStart w:id="19" w:name="_Toc519172501"/>
      <w:bookmarkStart w:id="20" w:name="_Toc487117352"/>
      <w:bookmarkStart w:id="21" w:name="_Toc497814211"/>
      <w:bookmarkStart w:id="22" w:name="_Toc453838987"/>
      <w:r>
        <w:rPr>
          <w:b/>
          <w:bCs/>
        </w:rPr>
        <w:t>ACTA DE CONFORMACIÓN DEL COMITÉ DE SEGURIDAD VIAL.</w:t>
      </w:r>
      <w:bookmarkEnd w:id="19"/>
    </w:p>
    <w:p w14:paraId="00F69FF6">
      <w:pPr>
        <w:spacing w:line="276" w:lineRule="auto"/>
        <w:rPr>
          <w:rFonts w:eastAsia="Calibri" w:asciiTheme="minorHAnsi" w:hAnsiTheme="minorHAnsi" w:cstheme="minorHAnsi"/>
          <w:b/>
          <w:sz w:val="24"/>
          <w:szCs w:val="24"/>
          <w:lang w:eastAsia="en-US"/>
        </w:rPr>
      </w:pPr>
    </w:p>
    <w:p w14:paraId="1063605C">
      <w:pPr>
        <w:autoSpaceDE w:val="0"/>
        <w:autoSpaceDN w:val="0"/>
        <w:adjustRightInd w:val="0"/>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El SENA emitió la Resolución SENA 880 del año 2015 “Por medio de la cual se crea el Comité Nacional De Seguridad Vial y el Comité Regional De Seguridad Vial del Servicio Nacional de Aprendizaje - SENA”. Los cuales tendrán carácter permanente y funcionarán con sujeción a lo previsto en esta Resolución, la Resolución</w:t>
      </w:r>
      <w:r>
        <w:rPr>
          <w:rFonts w:eastAsia="Calibri" w:asciiTheme="minorHAnsi" w:hAnsiTheme="minorHAnsi" w:cstheme="minorHAnsi"/>
          <w:color w:val="00B050"/>
          <w:sz w:val="24"/>
          <w:szCs w:val="24"/>
          <w:lang w:eastAsia="en-US"/>
        </w:rPr>
        <w:t xml:space="preserve"> 40595 de 2022</w:t>
      </w:r>
      <w:r>
        <w:rPr>
          <w:rFonts w:eastAsia="Calibri" w:asciiTheme="minorHAnsi" w:hAnsiTheme="minorHAnsi" w:cstheme="minorHAnsi"/>
          <w:sz w:val="24"/>
          <w:szCs w:val="24"/>
          <w:lang w:eastAsia="en-US"/>
        </w:rPr>
        <w:t xml:space="preserve"> y demás normas que la modifiquen o adicionen. </w:t>
      </w:r>
    </w:p>
    <w:p w14:paraId="4F74618B">
      <w:pPr>
        <w:autoSpaceDE w:val="0"/>
        <w:autoSpaceDN w:val="0"/>
        <w:adjustRightInd w:val="0"/>
        <w:spacing w:line="276" w:lineRule="auto"/>
        <w:rPr>
          <w:rFonts w:eastAsia="Calibri" w:asciiTheme="minorHAnsi" w:hAnsiTheme="minorHAnsi" w:cstheme="minorHAnsi"/>
          <w:sz w:val="24"/>
          <w:szCs w:val="24"/>
          <w:lang w:eastAsia="en-US"/>
        </w:rPr>
      </w:pPr>
    </w:p>
    <w:p w14:paraId="3ECEF8B6">
      <w:pPr>
        <w:autoSpaceDE w:val="0"/>
        <w:autoSpaceDN w:val="0"/>
        <w:adjustRightInd w:val="0"/>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 xml:space="preserve">Por lo cual este documento constituye el acta vigente de constitución a nivel nacional, para la institución, y que será aplicable a los cargos vigentes de cada sede </w:t>
      </w:r>
      <w:r>
        <w:rPr>
          <w:rFonts w:eastAsia="Calibri" w:asciiTheme="minorHAnsi" w:hAnsiTheme="minorHAnsi" w:cstheme="minorHAnsi"/>
          <w:sz w:val="24"/>
          <w:szCs w:val="24"/>
          <w:highlight w:val="yellow"/>
          <w:lang w:eastAsia="en-US"/>
        </w:rPr>
        <w:t>(se recomienda actualizar en cada actualización del PESV o si se presentan cambios en las directivas).</w:t>
      </w:r>
    </w:p>
    <w:p w14:paraId="25282CCB">
      <w:pPr>
        <w:autoSpaceDE w:val="0"/>
        <w:autoSpaceDN w:val="0"/>
        <w:adjustRightInd w:val="0"/>
        <w:spacing w:line="276" w:lineRule="auto"/>
        <w:rPr>
          <w:rFonts w:eastAsia="Calibri" w:asciiTheme="minorHAnsi" w:hAnsiTheme="minorHAnsi" w:cstheme="minorHAnsi"/>
          <w:sz w:val="24"/>
          <w:szCs w:val="24"/>
          <w:lang w:eastAsia="en-US"/>
        </w:rPr>
      </w:pPr>
    </w:p>
    <w:p w14:paraId="114B36F3">
      <w:pPr>
        <w:autoSpaceDE w:val="0"/>
        <w:autoSpaceDN w:val="0"/>
        <w:adjustRightInd w:val="0"/>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highlight w:val="yellow"/>
          <w:lang w:eastAsia="en-US"/>
        </w:rPr>
        <w:t>El SENA cuenta con la conformación de un Comité Nacional de Seguridad Vial - CNSV y treinta y tres (33) Comités Regionales de Seguridad Vial - CRSV.</w:t>
      </w:r>
    </w:p>
    <w:p w14:paraId="0D87BB88">
      <w:pPr>
        <w:pStyle w:val="21"/>
        <w:spacing w:after="0" w:line="276" w:lineRule="auto"/>
        <w:ind w:left="1985" w:hanging="1843"/>
        <w:rPr>
          <w:rFonts w:asciiTheme="minorHAnsi" w:hAnsiTheme="minorHAnsi" w:cstheme="minorHAnsi"/>
          <w:sz w:val="24"/>
          <w:szCs w:val="24"/>
        </w:rPr>
      </w:pPr>
      <w:r>
        <w:rPr>
          <w:rFonts w:asciiTheme="minorHAnsi" w:hAnsiTheme="minorHAnsi" w:cstheme="minorHAnsi"/>
          <w:sz w:val="24"/>
          <w:szCs w:val="24"/>
        </w:rPr>
        <w:t xml:space="preserve">  </w:t>
      </w:r>
    </w:p>
    <w:p w14:paraId="2B320D2D">
      <w:pPr>
        <w:pStyle w:val="51"/>
        <w:numPr>
          <w:ilvl w:val="0"/>
          <w:numId w:val="7"/>
        </w:numPr>
        <w:rPr>
          <w:b/>
          <w:bCs/>
        </w:rPr>
      </w:pPr>
      <w:bookmarkStart w:id="23" w:name="_Toc519172502"/>
      <w:bookmarkStart w:id="24" w:name="_Toc497841864"/>
      <w:r>
        <w:rPr>
          <w:b/>
          <w:bCs/>
        </w:rPr>
        <w:t>OBJETIVO DEL COMITÉ</w:t>
      </w:r>
      <w:bookmarkEnd w:id="20"/>
      <w:bookmarkEnd w:id="21"/>
      <w:bookmarkEnd w:id="22"/>
      <w:bookmarkEnd w:id="23"/>
      <w:bookmarkEnd w:id="24"/>
    </w:p>
    <w:p w14:paraId="3A3036BD">
      <w:pPr>
        <w:spacing w:line="276" w:lineRule="auto"/>
        <w:rPr>
          <w:rFonts w:eastAsia="Calibri" w:asciiTheme="minorHAnsi" w:hAnsiTheme="minorHAnsi" w:cstheme="minorHAnsi"/>
          <w:sz w:val="24"/>
          <w:szCs w:val="24"/>
          <w:lang w:eastAsia="en-US"/>
        </w:rPr>
      </w:pPr>
      <w:bookmarkStart w:id="25" w:name="_Toc503254081"/>
      <w:bookmarkStart w:id="26" w:name="_Toc503253270"/>
    </w:p>
    <w:p w14:paraId="66B0BDC2">
      <w:pPr>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 xml:space="preserve">El Comité Nacional de Seguridad Vial- CNSV, define la visión, </w:t>
      </w:r>
      <w:r>
        <w:rPr>
          <w:rFonts w:eastAsia="Calibri" w:asciiTheme="minorHAnsi" w:hAnsiTheme="minorHAnsi" w:cstheme="minorHAnsi"/>
          <w:color w:val="00B050"/>
          <w:sz w:val="24"/>
          <w:szCs w:val="24"/>
          <w:lang w:eastAsia="en-US"/>
        </w:rPr>
        <w:t>el objetivo general</w:t>
      </w:r>
      <w:r>
        <w:rPr>
          <w:rFonts w:eastAsia="Calibri" w:asciiTheme="minorHAnsi" w:hAnsiTheme="minorHAnsi" w:cstheme="minorHAnsi"/>
          <w:sz w:val="24"/>
          <w:szCs w:val="24"/>
          <w:lang w:eastAsia="en-US"/>
        </w:rPr>
        <w:t xml:space="preserve"> y alcance del PESV para la entidad en cada vigencia, acorde con los mínimos establecidos por la autoridad correspondiente.</w:t>
      </w:r>
      <w:bookmarkEnd w:id="25"/>
      <w:bookmarkEnd w:id="26"/>
    </w:p>
    <w:p w14:paraId="256CB829">
      <w:pPr>
        <w:spacing w:line="276" w:lineRule="auto"/>
        <w:rPr>
          <w:rFonts w:eastAsia="Calibri" w:asciiTheme="minorHAnsi" w:hAnsiTheme="minorHAnsi" w:cstheme="minorHAnsi"/>
          <w:sz w:val="24"/>
          <w:szCs w:val="24"/>
          <w:lang w:eastAsia="en-US"/>
        </w:rPr>
      </w:pPr>
    </w:p>
    <w:p w14:paraId="56E1B9F6">
      <w:pPr>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Los Comités Regionales de Seguridad Vial- CRSV, estarán para dar cumplimiento a, los lineamientos establecidos desde el CNSV y desde la Dirección General, hacer los seguimientos respectivos al parque automotor en cuanto al uso adecuado, mantenimiento, seguridad, ejecutar el plan de trabajo, etc.</w:t>
      </w:r>
    </w:p>
    <w:p w14:paraId="2CA7EDA2">
      <w:pPr>
        <w:spacing w:line="276" w:lineRule="auto"/>
        <w:rPr>
          <w:rFonts w:asciiTheme="minorHAnsi" w:hAnsiTheme="minorHAnsi" w:cstheme="minorHAnsi"/>
          <w:sz w:val="24"/>
          <w:szCs w:val="24"/>
          <w:lang w:eastAsia="en-US"/>
        </w:rPr>
      </w:pPr>
    </w:p>
    <w:p w14:paraId="41541C78">
      <w:pPr>
        <w:autoSpaceDE w:val="0"/>
        <w:autoSpaceDN w:val="0"/>
        <w:adjustRightInd w:val="0"/>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Los integrantes del Comité Nacional - CNSV y de los Comités Regionales de Seguridad Vial - CRSV, cuentan con autonomía para planear, implementar, medir acciones y tomar decisiones frente a los posibles eventos con el fin de brindar soluciones</w:t>
      </w:r>
      <w:r>
        <w:rPr>
          <w:rFonts w:eastAsia="Calibri" w:asciiTheme="minorHAnsi" w:hAnsiTheme="minorHAnsi" w:cstheme="minorHAnsi"/>
          <w:b/>
          <w:bCs/>
          <w:sz w:val="24"/>
          <w:szCs w:val="24"/>
          <w:lang w:eastAsia="en-US"/>
        </w:rPr>
        <w:t xml:space="preserve">, </w:t>
      </w:r>
      <w:r>
        <w:rPr>
          <w:rFonts w:eastAsia="Calibri" w:asciiTheme="minorHAnsi" w:hAnsiTheme="minorHAnsi" w:cstheme="minorHAnsi"/>
          <w:sz w:val="24"/>
          <w:szCs w:val="24"/>
          <w:lang w:eastAsia="en-US"/>
        </w:rPr>
        <w:t xml:space="preserve">impartir directrices, programar medidas coordinadas y tomar acciones en procura de prevenir, reducir, mitigar o evitar incidentes o </w:t>
      </w:r>
      <w:r>
        <w:rPr>
          <w:rFonts w:eastAsia="Calibri" w:asciiTheme="minorHAnsi" w:hAnsiTheme="minorHAnsi" w:cstheme="minorHAnsi"/>
          <w:color w:val="00B050"/>
          <w:sz w:val="24"/>
          <w:szCs w:val="24"/>
          <w:lang w:eastAsia="en-US"/>
        </w:rPr>
        <w:t xml:space="preserve">siniestros viales durante desplazamientos </w:t>
      </w:r>
      <w:r>
        <w:rPr>
          <w:rFonts w:eastAsia="Calibri" w:asciiTheme="minorHAnsi" w:hAnsiTheme="minorHAnsi" w:cstheme="minorHAnsi"/>
          <w:sz w:val="24"/>
          <w:szCs w:val="24"/>
          <w:lang w:eastAsia="en-US"/>
        </w:rPr>
        <w:t>laborales de los integrantes de la entidad y que se encuentren enmarcados y ajustados al plan de trabajo que desde la Coordinación del grupo de Seguridad y Salud en el trabajo se ha establecido para cada vigencia.</w:t>
      </w:r>
    </w:p>
    <w:p w14:paraId="52D4FF69">
      <w:pPr>
        <w:autoSpaceDE w:val="0"/>
        <w:autoSpaceDN w:val="0"/>
        <w:adjustRightInd w:val="0"/>
        <w:spacing w:line="276" w:lineRule="auto"/>
        <w:rPr>
          <w:rFonts w:eastAsia="Calibri" w:asciiTheme="minorHAnsi" w:hAnsiTheme="minorHAnsi" w:cstheme="minorHAnsi"/>
          <w:sz w:val="24"/>
          <w:szCs w:val="24"/>
          <w:lang w:eastAsia="en-US"/>
        </w:rPr>
      </w:pPr>
    </w:p>
    <w:p w14:paraId="5057347D">
      <w:pPr>
        <w:pStyle w:val="51"/>
        <w:numPr>
          <w:ilvl w:val="0"/>
          <w:numId w:val="7"/>
        </w:numPr>
        <w:rPr>
          <w:b/>
          <w:bCs/>
        </w:rPr>
      </w:pPr>
      <w:bookmarkStart w:id="27" w:name="_Toc519172503"/>
      <w:r>
        <w:rPr>
          <w:b/>
          <w:bCs/>
        </w:rPr>
        <w:t>INTEGRANTES DEL COMITÉ</w:t>
      </w:r>
      <w:bookmarkEnd w:id="27"/>
    </w:p>
    <w:p w14:paraId="3C8574FB">
      <w:pPr>
        <w:autoSpaceDE w:val="0"/>
        <w:autoSpaceDN w:val="0"/>
        <w:adjustRightInd w:val="0"/>
        <w:spacing w:line="276" w:lineRule="auto"/>
        <w:rPr>
          <w:rFonts w:eastAsia="Calibri" w:asciiTheme="minorHAnsi" w:hAnsiTheme="minorHAnsi" w:cstheme="minorHAnsi"/>
          <w:b/>
          <w:sz w:val="24"/>
          <w:szCs w:val="24"/>
          <w:lang w:eastAsia="en-US"/>
        </w:rPr>
      </w:pPr>
    </w:p>
    <w:p w14:paraId="66E5854B">
      <w:pPr>
        <w:autoSpaceDE w:val="0"/>
        <w:autoSpaceDN w:val="0"/>
        <w:adjustRightInd w:val="0"/>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El Comité Nacional de Seguridad Vial – CNSV, del Servicio Nacional de Aprendizaje SENA estará integrado por:</w:t>
      </w:r>
    </w:p>
    <w:p w14:paraId="5883B744">
      <w:pPr>
        <w:autoSpaceDE w:val="0"/>
        <w:autoSpaceDN w:val="0"/>
        <w:adjustRightInd w:val="0"/>
        <w:spacing w:line="276" w:lineRule="auto"/>
        <w:rPr>
          <w:rFonts w:eastAsia="Calibri" w:asciiTheme="minorHAnsi" w:hAnsiTheme="minorHAnsi" w:cstheme="minorHAnsi"/>
          <w:sz w:val="24"/>
          <w:szCs w:val="24"/>
          <w:lang w:eastAsia="en-US"/>
        </w:rPr>
      </w:pPr>
    </w:p>
    <w:p w14:paraId="0E376C5C">
      <w:pPr>
        <w:numPr>
          <w:ilvl w:val="0"/>
          <w:numId w:val="8"/>
        </w:numPr>
        <w:autoSpaceDE w:val="0"/>
        <w:autoSpaceDN w:val="0"/>
        <w:adjustRightInd w:val="0"/>
        <w:spacing w:line="276" w:lineRule="auto"/>
        <w:ind w:left="540" w:hanging="540"/>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El Director General o su delegado.</w:t>
      </w:r>
    </w:p>
    <w:p w14:paraId="7F44BE4A">
      <w:pPr>
        <w:numPr>
          <w:ilvl w:val="0"/>
          <w:numId w:val="8"/>
        </w:numPr>
        <w:autoSpaceDE w:val="0"/>
        <w:autoSpaceDN w:val="0"/>
        <w:adjustRightInd w:val="0"/>
        <w:spacing w:line="276" w:lineRule="auto"/>
        <w:ind w:left="540" w:hanging="540"/>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El Secretario General SENA o su delegado.</w:t>
      </w:r>
    </w:p>
    <w:p w14:paraId="0B4517EB">
      <w:pPr>
        <w:numPr>
          <w:ilvl w:val="0"/>
          <w:numId w:val="8"/>
        </w:numPr>
        <w:autoSpaceDE w:val="0"/>
        <w:autoSpaceDN w:val="0"/>
        <w:adjustRightInd w:val="0"/>
        <w:spacing w:line="276" w:lineRule="auto"/>
        <w:ind w:left="540" w:hanging="540"/>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El Director Jurídico o su delegado</w:t>
      </w:r>
    </w:p>
    <w:p w14:paraId="74B34FBC">
      <w:pPr>
        <w:numPr>
          <w:ilvl w:val="0"/>
          <w:numId w:val="8"/>
        </w:numPr>
        <w:autoSpaceDE w:val="0"/>
        <w:autoSpaceDN w:val="0"/>
        <w:adjustRightInd w:val="0"/>
        <w:spacing w:line="276" w:lineRule="auto"/>
        <w:ind w:left="540" w:hanging="540"/>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El Director de Formación Profesional o su delegado.</w:t>
      </w:r>
    </w:p>
    <w:p w14:paraId="1E06D66F">
      <w:pPr>
        <w:numPr>
          <w:ilvl w:val="0"/>
          <w:numId w:val="8"/>
        </w:numPr>
        <w:autoSpaceDE w:val="0"/>
        <w:autoSpaceDN w:val="0"/>
        <w:adjustRightInd w:val="0"/>
        <w:spacing w:line="276" w:lineRule="auto"/>
        <w:ind w:left="540" w:hanging="540"/>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El Director Administrativo y Financiero o su delegado.</w:t>
      </w:r>
    </w:p>
    <w:p w14:paraId="075D32F9">
      <w:pPr>
        <w:numPr>
          <w:ilvl w:val="0"/>
          <w:numId w:val="8"/>
        </w:numPr>
        <w:autoSpaceDE w:val="0"/>
        <w:autoSpaceDN w:val="0"/>
        <w:adjustRightInd w:val="0"/>
        <w:spacing w:line="276" w:lineRule="auto"/>
        <w:ind w:left="540" w:hanging="540"/>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El Director de Planeación y Direccionamiento Corporativo o su delegado.</w:t>
      </w:r>
    </w:p>
    <w:p w14:paraId="1D793B59">
      <w:pPr>
        <w:numPr>
          <w:ilvl w:val="0"/>
          <w:numId w:val="8"/>
        </w:numPr>
        <w:autoSpaceDE w:val="0"/>
        <w:autoSpaceDN w:val="0"/>
        <w:adjustRightInd w:val="0"/>
        <w:spacing w:line="276" w:lineRule="auto"/>
        <w:ind w:left="540" w:hanging="540"/>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El Coordinador del Grupo de Servicios Generales y Adquisiciones.</w:t>
      </w:r>
    </w:p>
    <w:p w14:paraId="4EE68459">
      <w:pPr>
        <w:numPr>
          <w:ilvl w:val="0"/>
          <w:numId w:val="8"/>
        </w:numPr>
        <w:autoSpaceDE w:val="0"/>
        <w:autoSpaceDN w:val="0"/>
        <w:adjustRightInd w:val="0"/>
        <w:spacing w:line="276" w:lineRule="auto"/>
        <w:ind w:left="540" w:hanging="540"/>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El Coordinador de Seguridad y Salud en el Trabajo y un delegado.</w:t>
      </w:r>
    </w:p>
    <w:p w14:paraId="21110037">
      <w:pPr>
        <w:numPr>
          <w:ilvl w:val="0"/>
          <w:numId w:val="8"/>
        </w:numPr>
        <w:autoSpaceDE w:val="0"/>
        <w:autoSpaceDN w:val="0"/>
        <w:adjustRightInd w:val="0"/>
        <w:spacing w:line="276" w:lineRule="auto"/>
        <w:ind w:left="540" w:hanging="540"/>
        <w:rPr>
          <w:rFonts w:eastAsia="Calibri" w:asciiTheme="minorHAnsi" w:hAnsiTheme="minorHAnsi" w:cstheme="minorHAnsi"/>
          <w:color w:val="00B050"/>
          <w:sz w:val="24"/>
          <w:szCs w:val="24"/>
          <w:lang w:eastAsia="en-US"/>
        </w:rPr>
      </w:pPr>
      <w:r>
        <w:rPr>
          <w:rFonts w:eastAsia="Calibri" w:asciiTheme="minorHAnsi" w:hAnsiTheme="minorHAnsi" w:cstheme="minorHAnsi"/>
          <w:color w:val="00B050"/>
          <w:sz w:val="24"/>
          <w:szCs w:val="24"/>
          <w:lang w:eastAsia="en-US"/>
        </w:rPr>
        <w:t>Líder del Plan Estratégico de Seguridad Vial</w:t>
      </w:r>
    </w:p>
    <w:p w14:paraId="7C701AF4">
      <w:pPr>
        <w:autoSpaceDE w:val="0"/>
        <w:autoSpaceDN w:val="0"/>
        <w:adjustRightInd w:val="0"/>
        <w:spacing w:line="276" w:lineRule="auto"/>
        <w:rPr>
          <w:rFonts w:eastAsia="Calibri" w:asciiTheme="minorHAnsi" w:hAnsiTheme="minorHAnsi" w:cstheme="minorHAnsi"/>
          <w:sz w:val="24"/>
          <w:szCs w:val="24"/>
          <w:lang w:eastAsia="en-US"/>
        </w:rPr>
      </w:pPr>
    </w:p>
    <w:p w14:paraId="73C6ED8F">
      <w:pPr>
        <w:autoSpaceDE w:val="0"/>
        <w:autoSpaceDN w:val="0"/>
        <w:adjustRightInd w:val="0"/>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Los Comités Regionales de Seguridad Vial – CRSV, del SENA estará integrado por:</w:t>
      </w:r>
    </w:p>
    <w:p w14:paraId="31948EF2">
      <w:pPr>
        <w:autoSpaceDE w:val="0"/>
        <w:autoSpaceDN w:val="0"/>
        <w:adjustRightInd w:val="0"/>
        <w:spacing w:line="276" w:lineRule="auto"/>
        <w:rPr>
          <w:rFonts w:eastAsia="Calibri" w:asciiTheme="minorHAnsi" w:hAnsiTheme="minorHAnsi" w:cstheme="minorHAnsi"/>
          <w:sz w:val="24"/>
          <w:szCs w:val="24"/>
          <w:lang w:eastAsia="en-US"/>
        </w:rPr>
      </w:pPr>
    </w:p>
    <w:p w14:paraId="2B3CA777">
      <w:pPr>
        <w:numPr>
          <w:ilvl w:val="0"/>
          <w:numId w:val="9"/>
        </w:numPr>
        <w:autoSpaceDE w:val="0"/>
        <w:autoSpaceDN w:val="0"/>
        <w:adjustRightInd w:val="0"/>
        <w:spacing w:line="276" w:lineRule="auto"/>
        <w:ind w:left="540" w:hanging="540"/>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El Director Regional o su delegado.</w:t>
      </w:r>
    </w:p>
    <w:p w14:paraId="50F159FE">
      <w:pPr>
        <w:numPr>
          <w:ilvl w:val="0"/>
          <w:numId w:val="9"/>
        </w:numPr>
        <w:autoSpaceDE w:val="0"/>
        <w:autoSpaceDN w:val="0"/>
        <w:adjustRightInd w:val="0"/>
        <w:spacing w:line="276" w:lineRule="auto"/>
        <w:ind w:left="540" w:hanging="540"/>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Los Subdirectores de Centro o su delegado.</w:t>
      </w:r>
    </w:p>
    <w:p w14:paraId="56165657">
      <w:pPr>
        <w:numPr>
          <w:ilvl w:val="0"/>
          <w:numId w:val="9"/>
        </w:numPr>
        <w:autoSpaceDE w:val="0"/>
        <w:autoSpaceDN w:val="0"/>
        <w:adjustRightInd w:val="0"/>
        <w:spacing w:line="276" w:lineRule="auto"/>
        <w:ind w:left="540" w:hanging="540"/>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El Coordinador de Grupo Administrativo Mixto.</w:t>
      </w:r>
    </w:p>
    <w:p w14:paraId="31FB251E">
      <w:pPr>
        <w:numPr>
          <w:ilvl w:val="0"/>
          <w:numId w:val="9"/>
        </w:numPr>
        <w:autoSpaceDE w:val="0"/>
        <w:autoSpaceDN w:val="0"/>
        <w:adjustRightInd w:val="0"/>
        <w:spacing w:line="276" w:lineRule="auto"/>
        <w:ind w:left="540" w:hanging="540"/>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Funcionario del nivel profesional o asesor adscrito al Despacho de la Regional.</w:t>
      </w:r>
    </w:p>
    <w:p w14:paraId="0ACBBDC1">
      <w:pPr>
        <w:numPr>
          <w:ilvl w:val="0"/>
          <w:numId w:val="9"/>
        </w:numPr>
        <w:autoSpaceDE w:val="0"/>
        <w:autoSpaceDN w:val="0"/>
        <w:adjustRightInd w:val="0"/>
        <w:spacing w:line="276" w:lineRule="auto"/>
        <w:ind w:left="540" w:hanging="540"/>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Delegado del grupo de seguridad y Salud en el Trabajo de la Regional.</w:t>
      </w:r>
    </w:p>
    <w:p w14:paraId="4670D93F">
      <w:pPr>
        <w:numPr>
          <w:ilvl w:val="0"/>
          <w:numId w:val="9"/>
        </w:numPr>
        <w:autoSpaceDE w:val="0"/>
        <w:autoSpaceDN w:val="0"/>
        <w:adjustRightInd w:val="0"/>
        <w:spacing w:line="276" w:lineRule="auto"/>
        <w:ind w:left="540" w:hanging="540"/>
        <w:rPr>
          <w:rFonts w:eastAsia="Calibri" w:asciiTheme="minorHAnsi" w:hAnsiTheme="minorHAnsi" w:cstheme="minorHAnsi"/>
          <w:color w:val="00B050"/>
          <w:sz w:val="24"/>
          <w:szCs w:val="24"/>
          <w:lang w:eastAsia="en-US"/>
        </w:rPr>
      </w:pPr>
      <w:r>
        <w:rPr>
          <w:rFonts w:eastAsia="Calibri" w:asciiTheme="minorHAnsi" w:hAnsiTheme="minorHAnsi" w:cstheme="minorHAnsi"/>
          <w:color w:val="00B050"/>
          <w:sz w:val="24"/>
          <w:szCs w:val="24"/>
          <w:lang w:eastAsia="en-US"/>
        </w:rPr>
        <w:t>Delegado del PESV para la regional</w:t>
      </w:r>
    </w:p>
    <w:p w14:paraId="453B3E06">
      <w:pPr>
        <w:autoSpaceDE w:val="0"/>
        <w:autoSpaceDN w:val="0"/>
        <w:adjustRightInd w:val="0"/>
        <w:spacing w:line="276" w:lineRule="auto"/>
        <w:rPr>
          <w:rFonts w:eastAsia="Calibri" w:asciiTheme="minorHAnsi" w:hAnsiTheme="minorHAnsi" w:cstheme="minorHAnsi"/>
          <w:sz w:val="24"/>
          <w:szCs w:val="24"/>
          <w:lang w:eastAsia="en-US"/>
        </w:rPr>
      </w:pPr>
    </w:p>
    <w:p w14:paraId="0CC74CC4">
      <w:pPr>
        <w:pStyle w:val="51"/>
        <w:numPr>
          <w:ilvl w:val="0"/>
          <w:numId w:val="7"/>
        </w:numPr>
        <w:rPr>
          <w:b/>
          <w:bCs/>
        </w:rPr>
      </w:pPr>
      <w:bookmarkStart w:id="28" w:name="_Toc519172504"/>
      <w:r>
        <w:rPr>
          <w:b/>
          <w:bCs/>
        </w:rPr>
        <w:t>ROLES Y FUNCIONES DE LOS INTEGRANTES DEL COMITÉ VIAL</w:t>
      </w:r>
      <w:bookmarkEnd w:id="28"/>
    </w:p>
    <w:p w14:paraId="54D8B3D9">
      <w:pPr>
        <w:spacing w:line="276" w:lineRule="auto"/>
        <w:rPr>
          <w:rFonts w:asciiTheme="minorHAnsi" w:hAnsiTheme="minorHAnsi" w:cstheme="minorHAnsi"/>
          <w:sz w:val="24"/>
          <w:szCs w:val="24"/>
          <w:lang w:eastAsia="es-CO"/>
        </w:rPr>
      </w:pPr>
    </w:p>
    <w:p w14:paraId="187871F6">
      <w:pPr>
        <w:pStyle w:val="5"/>
        <w:numPr>
          <w:ilvl w:val="0"/>
          <w:numId w:val="0"/>
        </w:numPr>
        <w:tabs>
          <w:tab w:val="left" w:pos="993"/>
        </w:tabs>
        <w:spacing w:before="0"/>
        <w:ind w:left="864" w:hanging="864"/>
        <w:rPr>
          <w:rFonts w:asciiTheme="minorHAnsi" w:hAnsiTheme="minorHAnsi" w:cstheme="minorHAnsi"/>
          <w:sz w:val="24"/>
          <w:szCs w:val="24"/>
        </w:rPr>
      </w:pPr>
      <w:r>
        <w:rPr>
          <w:rFonts w:asciiTheme="minorHAnsi" w:hAnsiTheme="minorHAnsi" w:cstheme="minorHAnsi"/>
          <w:sz w:val="24"/>
          <w:szCs w:val="24"/>
        </w:rPr>
        <w:t>Funciones representantes de la alta dirección (</w:t>
      </w:r>
      <w:r>
        <w:rPr>
          <w:rFonts w:asciiTheme="minorHAnsi" w:hAnsiTheme="minorHAnsi" w:cstheme="minorHAnsi"/>
          <w:color w:val="00B050"/>
          <w:sz w:val="24"/>
          <w:szCs w:val="24"/>
        </w:rPr>
        <w:t>Líder</w:t>
      </w:r>
      <w:r>
        <w:rPr>
          <w:rFonts w:asciiTheme="minorHAnsi" w:hAnsiTheme="minorHAnsi" w:cstheme="minorHAnsi"/>
          <w:sz w:val="24"/>
          <w:szCs w:val="24"/>
        </w:rPr>
        <w:t xml:space="preserve"> del PESV)</w:t>
      </w:r>
    </w:p>
    <w:p w14:paraId="5FB8B3F2">
      <w:pPr>
        <w:spacing w:line="276" w:lineRule="auto"/>
        <w:rPr>
          <w:rFonts w:eastAsia="Calibri" w:asciiTheme="minorHAnsi" w:hAnsiTheme="minorHAnsi" w:cstheme="minorHAnsi"/>
          <w:sz w:val="24"/>
          <w:szCs w:val="24"/>
          <w:lang w:eastAsia="es-CO"/>
        </w:rPr>
      </w:pPr>
    </w:p>
    <w:p w14:paraId="4BDC32FD">
      <w:pPr>
        <w:suppressAutoHyphens/>
        <w:spacing w:after="60" w:line="276" w:lineRule="auto"/>
        <w:rPr>
          <w:rFonts w:eastAsia="Calibri" w:asciiTheme="minorHAnsi" w:hAnsiTheme="minorHAnsi" w:cstheme="minorHAnsi"/>
          <w:kern w:val="1"/>
          <w:sz w:val="24"/>
          <w:szCs w:val="24"/>
          <w:lang w:eastAsia="en-US"/>
        </w:rPr>
      </w:pPr>
      <w:bookmarkStart w:id="29" w:name="_Toc496198982"/>
      <w:bookmarkStart w:id="30" w:name="_Toc496196144"/>
      <w:bookmarkStart w:id="31" w:name="_Toc496196023"/>
      <w:bookmarkStart w:id="32" w:name="_Toc496198545"/>
      <w:bookmarkStart w:id="33" w:name="_Toc496196059"/>
      <w:bookmarkStart w:id="34" w:name="_Toc496195362"/>
      <w:r>
        <w:rPr>
          <w:rFonts w:asciiTheme="minorHAnsi" w:hAnsiTheme="minorHAnsi" w:cstheme="minorHAnsi"/>
          <w:kern w:val="1"/>
          <w:sz w:val="24"/>
          <w:szCs w:val="24"/>
          <w:lang w:eastAsia="es-CO"/>
        </w:rPr>
        <w:t>Los representantes de la alta dirección delegados</w:t>
      </w:r>
      <w:r>
        <w:rPr>
          <w:rFonts w:asciiTheme="minorHAnsi" w:hAnsiTheme="minorHAnsi" w:cstheme="minorHAnsi"/>
          <w:color w:val="00B050"/>
          <w:kern w:val="1"/>
          <w:sz w:val="24"/>
          <w:szCs w:val="24"/>
          <w:lang w:eastAsia="es-CO"/>
        </w:rPr>
        <w:t xml:space="preserve"> como Líderes del PESV </w:t>
      </w:r>
      <w:r>
        <w:rPr>
          <w:rFonts w:asciiTheme="minorHAnsi" w:hAnsiTheme="minorHAnsi" w:cstheme="minorHAnsi"/>
          <w:kern w:val="1"/>
          <w:sz w:val="24"/>
          <w:szCs w:val="24"/>
          <w:lang w:eastAsia="es-CO"/>
        </w:rPr>
        <w:t>canalizarán acorde al manual de funciones y responsabilidades del SENA las necesidades derivadas de las siguientes funciones asignadas por la normatividad vigente a la alta dirección:</w:t>
      </w:r>
      <w:bookmarkEnd w:id="29"/>
      <w:bookmarkEnd w:id="30"/>
      <w:bookmarkEnd w:id="31"/>
      <w:bookmarkEnd w:id="32"/>
      <w:bookmarkEnd w:id="33"/>
      <w:bookmarkEnd w:id="34"/>
      <w:r>
        <w:rPr>
          <w:rFonts w:asciiTheme="minorHAnsi" w:hAnsiTheme="minorHAnsi" w:cstheme="minorHAnsi"/>
          <w:kern w:val="1"/>
          <w:sz w:val="24"/>
          <w:szCs w:val="24"/>
          <w:lang w:eastAsia="es-CO"/>
        </w:rPr>
        <w:t xml:space="preserve">  </w:t>
      </w:r>
    </w:p>
    <w:p w14:paraId="599CF936">
      <w:pPr>
        <w:numPr>
          <w:ilvl w:val="0"/>
          <w:numId w:val="10"/>
        </w:numPr>
        <w:suppressAutoHyphens/>
        <w:spacing w:line="276" w:lineRule="auto"/>
        <w:ind w:left="540" w:hanging="540"/>
        <w:rPr>
          <w:rFonts w:eastAsia="Calibri" w:asciiTheme="minorHAnsi" w:hAnsiTheme="minorHAnsi" w:cstheme="minorHAnsi"/>
          <w:color w:val="00B050"/>
          <w:kern w:val="1"/>
          <w:sz w:val="24"/>
          <w:szCs w:val="24"/>
          <w:lang w:val="es-VE" w:eastAsia="en-US"/>
        </w:rPr>
      </w:pPr>
      <w:r>
        <w:rPr>
          <w:rFonts w:asciiTheme="minorHAnsi" w:hAnsiTheme="minorHAnsi" w:cstheme="minorHAnsi"/>
          <w:kern w:val="1"/>
          <w:sz w:val="24"/>
          <w:szCs w:val="24"/>
          <w:lang w:eastAsia="es-CO"/>
        </w:rPr>
        <w:t>Liderar el proceso de creación e implementación del Plan Estratégico de Seguridad Vial (PESV).</w:t>
      </w:r>
    </w:p>
    <w:p w14:paraId="76117CA2">
      <w:pPr>
        <w:numPr>
          <w:ilvl w:val="0"/>
          <w:numId w:val="10"/>
        </w:numPr>
        <w:suppressAutoHyphens/>
        <w:spacing w:line="276" w:lineRule="auto"/>
        <w:ind w:left="540" w:hanging="540"/>
        <w:rPr>
          <w:rFonts w:eastAsia="Calibri" w:asciiTheme="minorHAnsi" w:hAnsiTheme="minorHAnsi" w:cstheme="minorHAnsi"/>
          <w:color w:val="00B050"/>
          <w:kern w:val="1"/>
          <w:sz w:val="24"/>
          <w:szCs w:val="24"/>
          <w:lang w:val="es-VE" w:eastAsia="en-US"/>
        </w:rPr>
      </w:pPr>
      <w:r>
        <w:rPr>
          <w:rFonts w:asciiTheme="minorHAnsi" w:hAnsiTheme="minorHAnsi" w:cstheme="minorHAnsi"/>
          <w:color w:val="00B050"/>
          <w:kern w:val="1"/>
          <w:sz w:val="24"/>
          <w:szCs w:val="24"/>
          <w:lang w:eastAsia="es-CO"/>
        </w:rPr>
        <w:t>Velar porque se cumplan las etapas de planificación, implementación, seguimiento y mejora del PESV.</w:t>
      </w:r>
    </w:p>
    <w:p w14:paraId="17E741E6">
      <w:pPr>
        <w:numPr>
          <w:ilvl w:val="0"/>
          <w:numId w:val="10"/>
        </w:numPr>
        <w:suppressAutoHyphens/>
        <w:spacing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kern w:val="1"/>
          <w:sz w:val="24"/>
          <w:szCs w:val="24"/>
          <w:lang w:eastAsia="es-CO"/>
        </w:rPr>
        <w:t>Definir los roles y funciones, con el objeto de cumplir los objetivos trazados en el Plan Estratégico de Seguridad Vial (PESV).</w:t>
      </w:r>
    </w:p>
    <w:p w14:paraId="1DD7CF87">
      <w:pPr>
        <w:numPr>
          <w:ilvl w:val="0"/>
          <w:numId w:val="10"/>
        </w:numPr>
        <w:suppressAutoHyphens/>
        <w:spacing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kern w:val="1"/>
          <w:sz w:val="24"/>
          <w:szCs w:val="24"/>
          <w:lang w:eastAsia="es-CO"/>
        </w:rPr>
        <w:t>Implicarse en su financiación, asegurando el presupuesto necesario para la implementación de las diferentes medidas que se vayan a adoptar.</w:t>
      </w:r>
    </w:p>
    <w:p w14:paraId="7B411FA4">
      <w:pPr>
        <w:numPr>
          <w:ilvl w:val="0"/>
          <w:numId w:val="10"/>
        </w:numPr>
        <w:suppressAutoHyphens/>
        <w:spacing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kern w:val="1"/>
          <w:sz w:val="24"/>
          <w:szCs w:val="24"/>
          <w:lang w:eastAsia="es-CO"/>
        </w:rPr>
        <w:t xml:space="preserve">Establecer un proceso ágil, dinámico y eficaz de participación de los trabajadores. </w:t>
      </w:r>
    </w:p>
    <w:p w14:paraId="0C67E03A">
      <w:pPr>
        <w:numPr>
          <w:ilvl w:val="0"/>
          <w:numId w:val="10"/>
        </w:numPr>
        <w:suppressAutoHyphens/>
        <w:spacing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kern w:val="1"/>
          <w:sz w:val="24"/>
          <w:szCs w:val="24"/>
          <w:lang w:eastAsia="es-CO"/>
        </w:rPr>
        <w:t>Garantizar a los grupos de trabajo el tiempo que precisen para sus reuniones.</w:t>
      </w:r>
    </w:p>
    <w:p w14:paraId="0811B81D">
      <w:pPr>
        <w:numPr>
          <w:ilvl w:val="0"/>
          <w:numId w:val="10"/>
        </w:numPr>
        <w:suppressAutoHyphens/>
        <w:spacing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kern w:val="1"/>
          <w:sz w:val="24"/>
          <w:szCs w:val="24"/>
          <w:lang w:eastAsia="es-CO"/>
        </w:rPr>
        <w:t>Adoptar las decisiones oportunas que hagan posible que se lleven a buen término las medidas que se propongan.</w:t>
      </w:r>
    </w:p>
    <w:p w14:paraId="2AD0D600">
      <w:pPr>
        <w:numPr>
          <w:ilvl w:val="0"/>
          <w:numId w:val="10"/>
        </w:numPr>
        <w:suppressAutoHyphens/>
        <w:spacing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kern w:val="1"/>
          <w:sz w:val="24"/>
          <w:szCs w:val="24"/>
          <w:lang w:eastAsia="es-CO"/>
        </w:rPr>
        <w:t>Garantizar que el personal que labora en cada área cumpla con lo establecido en el Plan Estratégico de Seguridad Vial (PESV) y los documentos relacionados aplicables.</w:t>
      </w:r>
    </w:p>
    <w:p w14:paraId="28AE90F3">
      <w:pPr>
        <w:numPr>
          <w:ilvl w:val="0"/>
          <w:numId w:val="10"/>
        </w:numPr>
        <w:suppressAutoHyphens/>
        <w:spacing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kern w:val="1"/>
          <w:sz w:val="24"/>
          <w:szCs w:val="24"/>
          <w:lang w:eastAsia="es-CO"/>
        </w:rPr>
        <w:t>Apoyar a la oficina jurídica en los temas relacionados de contratación de vehículos en cualquier modalidad y realizar el seguimiento al cumplimiento de lo legalmente establecido a nivel nacional.</w:t>
      </w:r>
    </w:p>
    <w:p w14:paraId="4BFB70AD">
      <w:pPr>
        <w:numPr>
          <w:ilvl w:val="0"/>
          <w:numId w:val="10"/>
        </w:numPr>
        <w:suppressAutoHyphens/>
        <w:spacing w:line="276" w:lineRule="auto"/>
        <w:ind w:left="540" w:hanging="540"/>
        <w:rPr>
          <w:rFonts w:eastAsia="Calibri" w:asciiTheme="minorHAnsi" w:hAnsiTheme="minorHAnsi" w:cstheme="minorHAnsi"/>
          <w:color w:val="00B050"/>
          <w:kern w:val="1"/>
          <w:sz w:val="24"/>
          <w:szCs w:val="24"/>
          <w:lang w:val="es-VE" w:eastAsia="en-US"/>
        </w:rPr>
      </w:pPr>
      <w:r>
        <w:rPr>
          <w:rFonts w:asciiTheme="minorHAnsi" w:hAnsiTheme="minorHAnsi" w:cstheme="minorHAnsi"/>
          <w:color w:val="00B050"/>
          <w:kern w:val="1"/>
          <w:sz w:val="24"/>
          <w:szCs w:val="24"/>
          <w:lang w:eastAsia="es-CO"/>
        </w:rPr>
        <w:t xml:space="preserve">Diligenciar el reporte de autogestión anual del PESV y los resultados de la medición de indicadores conforme a lo que se indica en el paso 20. </w:t>
      </w:r>
    </w:p>
    <w:p w14:paraId="081E71BF">
      <w:pPr>
        <w:suppressAutoHyphens/>
        <w:spacing w:line="276" w:lineRule="auto"/>
        <w:ind w:left="720"/>
        <w:rPr>
          <w:rFonts w:eastAsia="Calibri" w:asciiTheme="minorHAnsi" w:hAnsiTheme="minorHAnsi" w:cstheme="minorHAnsi"/>
          <w:kern w:val="1"/>
          <w:sz w:val="24"/>
          <w:szCs w:val="24"/>
          <w:lang w:val="es-VE" w:eastAsia="en-US"/>
        </w:rPr>
      </w:pPr>
    </w:p>
    <w:p w14:paraId="12FE5826">
      <w:pPr>
        <w:suppressAutoHyphens/>
        <w:spacing w:line="276" w:lineRule="auto"/>
        <w:rPr>
          <w:rFonts w:asciiTheme="minorHAnsi" w:hAnsiTheme="minorHAnsi" w:cstheme="minorHAnsi"/>
          <w:kern w:val="1"/>
          <w:sz w:val="24"/>
          <w:szCs w:val="24"/>
          <w:lang w:eastAsia="es-CO"/>
        </w:rPr>
      </w:pPr>
      <w:bookmarkStart w:id="35" w:name="_Toc487117093"/>
      <w:bookmarkEnd w:id="35"/>
      <w:bookmarkStart w:id="36" w:name="_Toc487117357"/>
      <w:bookmarkEnd w:id="36"/>
      <w:bookmarkStart w:id="37" w:name="_Toc496198983"/>
      <w:bookmarkStart w:id="38" w:name="_Toc496196060"/>
      <w:bookmarkStart w:id="39" w:name="_Toc496195363"/>
      <w:bookmarkStart w:id="40" w:name="_Toc496196145"/>
      <w:bookmarkStart w:id="41" w:name="_Toc496198546"/>
      <w:bookmarkStart w:id="42" w:name="_Toc496196024"/>
      <w:r>
        <w:rPr>
          <w:rFonts w:asciiTheme="minorHAnsi" w:hAnsiTheme="minorHAnsi" w:cstheme="minorHAnsi"/>
          <w:kern w:val="1"/>
          <w:sz w:val="24"/>
          <w:szCs w:val="24"/>
          <w:lang w:val="es-VE" w:eastAsia="es-CO"/>
        </w:rPr>
        <w:t>El SENA</w:t>
      </w:r>
      <w:r>
        <w:rPr>
          <w:rFonts w:asciiTheme="minorHAnsi" w:hAnsiTheme="minorHAnsi" w:cstheme="minorHAnsi"/>
          <w:kern w:val="1"/>
          <w:sz w:val="24"/>
          <w:szCs w:val="24"/>
          <w:lang w:eastAsia="es-CO"/>
        </w:rPr>
        <w:t xml:space="preserve"> y cada uno de los miembros de la Dirección se comprometen a establecer las medidas de gestión eficaces y oportunas para garantizar la consecución de las acciones establecidas en el PESV, teniendo en cuenta los siguientes niveles de funciones y responsabilidades:</w:t>
      </w:r>
      <w:bookmarkEnd w:id="37"/>
      <w:bookmarkEnd w:id="38"/>
      <w:bookmarkEnd w:id="39"/>
      <w:bookmarkEnd w:id="40"/>
      <w:bookmarkEnd w:id="41"/>
      <w:bookmarkEnd w:id="42"/>
    </w:p>
    <w:p w14:paraId="42886047">
      <w:pPr>
        <w:suppressAutoHyphens/>
        <w:spacing w:line="276" w:lineRule="auto"/>
        <w:rPr>
          <w:rFonts w:eastAsia="Calibri" w:asciiTheme="minorHAnsi" w:hAnsiTheme="minorHAnsi" w:cstheme="minorHAnsi"/>
          <w:kern w:val="1"/>
          <w:sz w:val="24"/>
          <w:szCs w:val="24"/>
          <w:lang w:val="es-VE" w:eastAsia="en-US"/>
        </w:rPr>
      </w:pPr>
    </w:p>
    <w:p w14:paraId="04E25FA9">
      <w:pPr>
        <w:pStyle w:val="51"/>
        <w:numPr>
          <w:ilvl w:val="0"/>
          <w:numId w:val="7"/>
        </w:numPr>
        <w:rPr>
          <w:b/>
          <w:bCs/>
        </w:rPr>
      </w:pPr>
      <w:r>
        <w:rPr>
          <w:b/>
          <w:bCs/>
        </w:rPr>
        <w:t xml:space="preserve">Funciones del Comité </w:t>
      </w:r>
    </w:p>
    <w:p w14:paraId="7B7C7E07">
      <w:pPr>
        <w:suppressLineNumbers/>
        <w:suppressAutoHyphens/>
        <w:spacing w:line="276" w:lineRule="auto"/>
        <w:rPr>
          <w:rFonts w:eastAsia="Calibri" w:asciiTheme="minorHAnsi" w:hAnsiTheme="minorHAnsi" w:cstheme="minorHAnsi"/>
          <w:b/>
          <w:kern w:val="1"/>
          <w:sz w:val="24"/>
          <w:szCs w:val="24"/>
        </w:rPr>
      </w:pPr>
    </w:p>
    <w:p w14:paraId="71FBD61D">
      <w:pPr>
        <w:suppressLineNumbers/>
        <w:suppressAutoHyphens/>
        <w:spacing w:line="276" w:lineRule="auto"/>
        <w:rPr>
          <w:rFonts w:eastAsia="Calibri" w:asciiTheme="minorHAnsi" w:hAnsiTheme="minorHAnsi" w:cstheme="minorHAnsi"/>
          <w:kern w:val="1"/>
          <w:sz w:val="24"/>
          <w:szCs w:val="24"/>
        </w:rPr>
      </w:pPr>
      <w:r>
        <w:rPr>
          <w:rFonts w:eastAsia="Calibri" w:asciiTheme="minorHAnsi" w:hAnsiTheme="minorHAnsi" w:cstheme="minorHAnsi"/>
          <w:kern w:val="1"/>
          <w:sz w:val="24"/>
          <w:szCs w:val="24"/>
        </w:rPr>
        <w:t>El Comité funcionara transversalmente en las actividades y planes de acciones a definir, por ende no se delegara roles y funciones específicas a cada uno de los miembros y todos sus miembros deberán:</w:t>
      </w:r>
    </w:p>
    <w:p w14:paraId="6552153D">
      <w:pPr>
        <w:suppressLineNumbers/>
        <w:suppressAutoHyphens/>
        <w:spacing w:line="276" w:lineRule="auto"/>
        <w:rPr>
          <w:rFonts w:eastAsia="Calibri" w:asciiTheme="minorHAnsi" w:hAnsiTheme="minorHAnsi" w:cstheme="minorHAnsi"/>
          <w:kern w:val="1"/>
          <w:sz w:val="24"/>
          <w:szCs w:val="24"/>
          <w:lang w:val="es-VE" w:eastAsia="en-US"/>
        </w:rPr>
      </w:pPr>
    </w:p>
    <w:p w14:paraId="1905A4FF">
      <w:pPr>
        <w:numPr>
          <w:ilvl w:val="0"/>
          <w:numId w:val="11"/>
        </w:numPr>
        <w:suppressAutoHyphens/>
        <w:spacing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color w:val="00B050"/>
          <w:kern w:val="1"/>
          <w:sz w:val="24"/>
          <w:szCs w:val="24"/>
          <w:lang w:val="es-VE" w:eastAsia="es-VE"/>
        </w:rPr>
        <w:t xml:space="preserve">Definir el objetivo general, la visión y alcance del PESV, en cumplimiento de las fases, pasos y requisitos establecidos en el presente documento, manteniendo la alineación con el Plan Nacional de Seguridad Vial vigente y la articulación con el Sistema de Gestión en Seguridad y Salud en el Trabajo. </w:t>
      </w:r>
    </w:p>
    <w:p w14:paraId="08978A54">
      <w:pPr>
        <w:numPr>
          <w:ilvl w:val="0"/>
          <w:numId w:val="11"/>
        </w:numPr>
        <w:suppressAutoHyphens/>
        <w:spacing w:line="276" w:lineRule="auto"/>
        <w:ind w:left="540" w:hanging="540"/>
        <w:rPr>
          <w:rFonts w:asciiTheme="minorHAnsi" w:hAnsiTheme="minorHAnsi" w:cstheme="minorHAnsi"/>
          <w:color w:val="00B050"/>
          <w:kern w:val="1"/>
          <w:sz w:val="24"/>
          <w:szCs w:val="24"/>
          <w:lang w:val="es-VE" w:eastAsia="es-VE"/>
        </w:rPr>
      </w:pPr>
      <w:r>
        <w:rPr>
          <w:rFonts w:asciiTheme="minorHAnsi" w:hAnsiTheme="minorHAnsi" w:cstheme="minorHAnsi"/>
          <w:color w:val="00B050"/>
          <w:kern w:val="1"/>
          <w:sz w:val="24"/>
          <w:szCs w:val="24"/>
          <w:lang w:val="es-VE" w:eastAsia="es-VE"/>
        </w:rPr>
        <w:t xml:space="preserve">Realizar las acciones tendientes a diseñar, implementar, mantener y mejorar continuamente el PESV, en el marco de lo establecido en el Plan Nacional de Seguridad Vial e incluyendo a todos los actores viales de la organización (peatones, personas con discapacidad, ciclistas, motociclistas, conductores, pasajeros). </w:t>
      </w:r>
    </w:p>
    <w:p w14:paraId="38A27B21">
      <w:pPr>
        <w:numPr>
          <w:ilvl w:val="0"/>
          <w:numId w:val="11"/>
        </w:numPr>
        <w:suppressAutoHyphens/>
        <w:spacing w:line="276" w:lineRule="auto"/>
        <w:ind w:left="540" w:hanging="540"/>
        <w:rPr>
          <w:rFonts w:asciiTheme="minorHAnsi" w:hAnsiTheme="minorHAnsi" w:cstheme="minorHAnsi"/>
          <w:color w:val="00B050"/>
          <w:kern w:val="1"/>
          <w:sz w:val="24"/>
          <w:szCs w:val="24"/>
          <w:lang w:val="es-VE" w:eastAsia="es-VE"/>
        </w:rPr>
      </w:pPr>
      <w:r>
        <w:rPr>
          <w:rFonts w:asciiTheme="minorHAnsi" w:hAnsiTheme="minorHAnsi" w:cstheme="minorHAnsi"/>
          <w:color w:val="00B050"/>
          <w:kern w:val="1"/>
          <w:sz w:val="24"/>
          <w:szCs w:val="24"/>
          <w:lang w:val="es-VE" w:eastAsia="es-VE"/>
        </w:rPr>
        <w:t xml:space="preserve">Promover la participación de la comunidad de la organización en las acciones de seguridad vial, siendo actores claves en el logro de los objetivos del PESV.  </w:t>
      </w:r>
    </w:p>
    <w:p w14:paraId="4C5A66D2">
      <w:pPr>
        <w:numPr>
          <w:ilvl w:val="0"/>
          <w:numId w:val="11"/>
        </w:numPr>
        <w:suppressAutoHyphens/>
        <w:spacing w:line="276" w:lineRule="auto"/>
        <w:ind w:left="540" w:hanging="540"/>
        <w:rPr>
          <w:rFonts w:asciiTheme="minorHAnsi" w:hAnsiTheme="minorHAnsi" w:cstheme="minorHAnsi"/>
          <w:color w:val="00B050"/>
          <w:kern w:val="1"/>
          <w:sz w:val="24"/>
          <w:szCs w:val="24"/>
          <w:lang w:val="es-VE" w:eastAsia="es-VE"/>
        </w:rPr>
      </w:pPr>
      <w:r>
        <w:rPr>
          <w:rFonts w:asciiTheme="minorHAnsi" w:hAnsiTheme="minorHAnsi" w:cstheme="minorHAnsi"/>
          <w:color w:val="00B050"/>
          <w:kern w:val="1"/>
          <w:sz w:val="24"/>
          <w:szCs w:val="24"/>
          <w:lang w:val="es-VE" w:eastAsia="es-VE"/>
        </w:rPr>
        <w:t xml:space="preserve">Definir los procesos y/o áreas que acompañará cada miembro del Comité de Seguridad Vial para influenciar la mejora en términos de seguridad vial.  </w:t>
      </w:r>
    </w:p>
    <w:p w14:paraId="43276B38">
      <w:pPr>
        <w:numPr>
          <w:ilvl w:val="0"/>
          <w:numId w:val="11"/>
        </w:numPr>
        <w:suppressAutoHyphens/>
        <w:spacing w:line="276" w:lineRule="auto"/>
        <w:ind w:left="540" w:hanging="540"/>
        <w:rPr>
          <w:rFonts w:asciiTheme="minorHAnsi" w:hAnsiTheme="minorHAnsi" w:cstheme="minorHAnsi"/>
          <w:color w:val="00B050"/>
          <w:kern w:val="1"/>
          <w:sz w:val="24"/>
          <w:szCs w:val="24"/>
          <w:lang w:val="es-VE" w:eastAsia="es-VE"/>
        </w:rPr>
      </w:pPr>
      <w:r>
        <w:rPr>
          <w:rFonts w:asciiTheme="minorHAnsi" w:hAnsiTheme="minorHAnsi" w:cstheme="minorHAnsi"/>
          <w:color w:val="00B050"/>
          <w:kern w:val="1"/>
          <w:sz w:val="24"/>
          <w:szCs w:val="24"/>
          <w:lang w:val="es-VE" w:eastAsia="es-VE"/>
        </w:rPr>
        <w:t xml:space="preserve">Analizar los indicadores de siniestralidad vial, las investigaciones internas de siniestros viales y realizar seguimiento a los planes de acción que surgen de los resultados o conclusiones de las investigaciones, teniendo en cuenta que se deben investigar todos los siniestros viales donde se ven involucrados colaboradores de la organización que realizan desplazamientos laborales, donde se presentan muertos, lesionados o daños de la organización o de terceros. </w:t>
      </w:r>
    </w:p>
    <w:p w14:paraId="5A491085">
      <w:pPr>
        <w:numPr>
          <w:ilvl w:val="0"/>
          <w:numId w:val="11"/>
        </w:numPr>
        <w:suppressAutoHyphens/>
        <w:spacing w:line="276" w:lineRule="auto"/>
        <w:ind w:left="540" w:hanging="540"/>
        <w:rPr>
          <w:rFonts w:asciiTheme="minorHAnsi" w:hAnsiTheme="minorHAnsi" w:cstheme="minorHAnsi"/>
          <w:color w:val="00B050"/>
          <w:kern w:val="1"/>
          <w:sz w:val="24"/>
          <w:szCs w:val="24"/>
          <w:lang w:val="es-VE" w:eastAsia="es-VE"/>
        </w:rPr>
      </w:pPr>
      <w:r>
        <w:rPr>
          <w:rFonts w:asciiTheme="minorHAnsi" w:hAnsiTheme="minorHAnsi" w:cstheme="minorHAnsi"/>
          <w:color w:val="00B050"/>
          <w:kern w:val="1"/>
          <w:sz w:val="24"/>
          <w:szCs w:val="24"/>
          <w:lang w:val="es-VE" w:eastAsia="es-VE"/>
        </w:rPr>
        <w:t xml:space="preserve">Revisar el PESV al menos una vez por trimestre y documentar el seguimiento, análisis y evaluación de los resultados de la siniestralidad vial e indicadores y reporte autogestión del PESV, del plan anual de trabajo, de las auditorías y de la implementación del PESV, con el objetivo de tomar decisiones enfocadas en la mejora de la seguridad vial. </w:t>
      </w:r>
    </w:p>
    <w:p w14:paraId="400B9B9A">
      <w:pPr>
        <w:numPr>
          <w:ilvl w:val="0"/>
          <w:numId w:val="11"/>
        </w:numPr>
        <w:suppressAutoHyphens/>
        <w:spacing w:line="276" w:lineRule="auto"/>
        <w:ind w:left="540" w:hanging="540"/>
        <w:rPr>
          <w:rFonts w:eastAsia="Calibri" w:asciiTheme="minorHAnsi" w:hAnsiTheme="minorHAnsi" w:cstheme="minorHAnsi"/>
          <w:kern w:val="1"/>
          <w:sz w:val="24"/>
          <w:szCs w:val="24"/>
          <w:lang w:val="es-VE" w:eastAsia="en-US"/>
        </w:rPr>
      </w:pPr>
      <w:commentRangeStart w:id="0"/>
      <w:r>
        <w:rPr>
          <w:rFonts w:asciiTheme="minorHAnsi" w:hAnsiTheme="minorHAnsi" w:cstheme="minorHAnsi"/>
          <w:color w:val="000000"/>
          <w:kern w:val="1"/>
          <w:sz w:val="24"/>
          <w:szCs w:val="24"/>
          <w:lang w:val="es-VE" w:eastAsia="es-VE"/>
        </w:rPr>
        <w:t xml:space="preserve">Participar en la </w:t>
      </w:r>
      <w:commentRangeEnd w:id="0"/>
      <w:r>
        <w:rPr>
          <w:rStyle w:val="13"/>
          <w:rFonts w:eastAsia="Calibri" w:cs="Times New Roman"/>
          <w:lang w:eastAsia="en-US"/>
        </w:rPr>
        <w:commentReference w:id="0"/>
      </w:r>
      <w:r>
        <w:rPr>
          <w:rFonts w:asciiTheme="minorHAnsi" w:hAnsiTheme="minorHAnsi" w:cstheme="minorHAnsi"/>
          <w:color w:val="000000"/>
          <w:kern w:val="1"/>
          <w:sz w:val="24"/>
          <w:szCs w:val="24"/>
          <w:lang w:val="es-VE" w:eastAsia="es-VE"/>
        </w:rPr>
        <w:t>elaboración de la caracterización, analizar los resultados y de acuerdo a estos proponer acciones que permitan formular planes de acción enmarcados dentro del plan de trabajo del PESV.</w:t>
      </w:r>
    </w:p>
    <w:p w14:paraId="185D4242">
      <w:pPr>
        <w:numPr>
          <w:ilvl w:val="0"/>
          <w:numId w:val="11"/>
        </w:numPr>
        <w:suppressAutoHyphens/>
        <w:spacing w:line="276" w:lineRule="auto"/>
        <w:ind w:left="540" w:hanging="540"/>
        <w:rPr>
          <w:rFonts w:eastAsia="Calibri" w:asciiTheme="minorHAnsi" w:hAnsiTheme="minorHAnsi" w:cstheme="minorHAnsi"/>
          <w:kern w:val="1"/>
          <w:sz w:val="24"/>
          <w:szCs w:val="24"/>
          <w:highlight w:val="yellow"/>
          <w:lang w:val="es-VE" w:eastAsia="en-US"/>
        </w:rPr>
      </w:pPr>
      <w:r>
        <w:rPr>
          <w:rFonts w:asciiTheme="minorHAnsi" w:hAnsiTheme="minorHAnsi" w:cstheme="minorHAnsi"/>
          <w:color w:val="000000"/>
          <w:kern w:val="1"/>
          <w:sz w:val="24"/>
          <w:szCs w:val="24"/>
          <w:highlight w:val="yellow"/>
          <w:lang w:eastAsia="es-VE"/>
        </w:rPr>
        <w:t>Identificar los factores de riesgo y establecer un plan de acción que será particular en cada Regional, que permita mitigar y controlar los riesgos.</w:t>
      </w:r>
    </w:p>
    <w:p w14:paraId="4CC39340">
      <w:pPr>
        <w:numPr>
          <w:ilvl w:val="0"/>
          <w:numId w:val="11"/>
        </w:numPr>
        <w:suppressAutoHyphens/>
        <w:spacing w:line="276" w:lineRule="auto"/>
        <w:ind w:left="540" w:hanging="540"/>
        <w:rPr>
          <w:rFonts w:eastAsia="Calibri" w:asciiTheme="minorHAnsi" w:hAnsiTheme="minorHAnsi" w:cstheme="minorHAnsi"/>
          <w:kern w:val="1"/>
          <w:sz w:val="24"/>
          <w:szCs w:val="24"/>
          <w:highlight w:val="yellow"/>
          <w:lang w:val="es-VE" w:eastAsia="en-US"/>
        </w:rPr>
      </w:pPr>
      <w:r>
        <w:rPr>
          <w:rFonts w:asciiTheme="minorHAnsi" w:hAnsiTheme="minorHAnsi" w:cstheme="minorHAnsi"/>
          <w:color w:val="000000"/>
          <w:kern w:val="1"/>
          <w:sz w:val="24"/>
          <w:szCs w:val="24"/>
          <w:highlight w:val="yellow"/>
          <w:lang w:eastAsia="es-VE"/>
        </w:rPr>
        <w:t xml:space="preserve">De acuerdo al plan de trabajo y al plan de capacitaciones emitido desde la Dirección General establecer las capacitaciones que se desarrollarán con los distintos actores viales en la Regional, con el objetivo de complementar el plan de trabajo, aportar a la mitigación de los riesgos, </w:t>
      </w:r>
      <w:r>
        <w:rPr>
          <w:rFonts w:asciiTheme="minorHAnsi" w:hAnsiTheme="minorHAnsi" w:cstheme="minorHAnsi"/>
          <w:kern w:val="1"/>
          <w:sz w:val="24"/>
          <w:szCs w:val="24"/>
          <w:highlight w:val="yellow"/>
          <w:lang w:eastAsia="es-VE"/>
        </w:rPr>
        <w:t>minimizar los riesgos de un accidente de tránsito y evitar incidentes o accidentes de cualquiera de los actores viales.</w:t>
      </w:r>
    </w:p>
    <w:p w14:paraId="05F4DDB6">
      <w:pPr>
        <w:numPr>
          <w:ilvl w:val="0"/>
          <w:numId w:val="11"/>
        </w:numPr>
        <w:suppressAutoHyphens/>
        <w:spacing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color w:val="000000"/>
          <w:kern w:val="1"/>
          <w:sz w:val="24"/>
          <w:szCs w:val="24"/>
          <w:lang w:val="es-VE" w:eastAsia="es-VE"/>
        </w:rPr>
        <w:t>E</w:t>
      </w:r>
      <w:r>
        <w:rPr>
          <w:rFonts w:asciiTheme="minorHAnsi" w:hAnsiTheme="minorHAnsi" w:cstheme="minorHAnsi"/>
          <w:color w:val="000000"/>
          <w:kern w:val="1"/>
          <w:sz w:val="24"/>
          <w:szCs w:val="24"/>
          <w:lang w:eastAsia="es-VE"/>
        </w:rPr>
        <w:t>valuar los requerimientos y la oferta disponible, frente a proveedores y talleres para los procesos de diagnóstico, mantenimiento preventivo y mantenimiento correctivo de los vehículos de la entidad o de los que se encuentren a cargo de la misma.</w:t>
      </w:r>
    </w:p>
    <w:p w14:paraId="1DEA5255">
      <w:pPr>
        <w:numPr>
          <w:ilvl w:val="0"/>
          <w:numId w:val="11"/>
        </w:numPr>
        <w:suppressAutoHyphens/>
        <w:spacing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color w:val="000000"/>
          <w:kern w:val="1"/>
          <w:sz w:val="24"/>
          <w:szCs w:val="24"/>
          <w:lang w:val="es-VE" w:eastAsia="es-VE"/>
        </w:rPr>
        <w:t>Programar</w:t>
      </w:r>
      <w:r>
        <w:rPr>
          <w:rFonts w:asciiTheme="minorHAnsi" w:hAnsiTheme="minorHAnsi" w:cstheme="minorHAnsi"/>
          <w:color w:val="000000"/>
          <w:kern w:val="1"/>
          <w:sz w:val="24"/>
          <w:szCs w:val="24"/>
          <w:lang w:eastAsia="es-VE"/>
        </w:rPr>
        <w:t xml:space="preserve"> fechas, tiempos y lugares para las capacitaciones con los conductores, sus equipos de trabajo y otros actores de la entidad</w:t>
      </w:r>
      <w:r>
        <w:rPr>
          <w:rFonts w:asciiTheme="minorHAnsi" w:hAnsiTheme="minorHAnsi" w:cstheme="minorHAnsi"/>
          <w:color w:val="000000"/>
          <w:kern w:val="1"/>
          <w:sz w:val="24"/>
          <w:szCs w:val="24"/>
          <w:highlight w:val="yellow"/>
          <w:lang w:eastAsia="es-VE"/>
        </w:rPr>
        <w:t xml:space="preserve"> de acuerdo con el plan de trabajo</w:t>
      </w:r>
      <w:r>
        <w:rPr>
          <w:rFonts w:asciiTheme="minorHAnsi" w:hAnsiTheme="minorHAnsi" w:cstheme="minorHAnsi"/>
          <w:color w:val="000000"/>
          <w:kern w:val="1"/>
          <w:sz w:val="24"/>
          <w:szCs w:val="24"/>
          <w:lang w:eastAsia="es-VE"/>
        </w:rPr>
        <w:t>.</w:t>
      </w:r>
    </w:p>
    <w:p w14:paraId="416537BB">
      <w:pPr>
        <w:numPr>
          <w:ilvl w:val="0"/>
          <w:numId w:val="11"/>
        </w:numPr>
        <w:suppressAutoHyphens/>
        <w:spacing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color w:val="000000"/>
          <w:kern w:val="1"/>
          <w:sz w:val="24"/>
          <w:szCs w:val="24"/>
          <w:lang w:val="es-VE" w:eastAsia="es-VE"/>
        </w:rPr>
        <w:t>Participar de las inspecciones planeadas a vehículos y conductores, establecer</w:t>
      </w:r>
      <w:r>
        <w:rPr>
          <w:rFonts w:asciiTheme="minorHAnsi" w:hAnsiTheme="minorHAnsi" w:cstheme="minorHAnsi"/>
          <w:color w:val="000000"/>
          <w:kern w:val="1"/>
          <w:sz w:val="24"/>
          <w:szCs w:val="24"/>
          <w:lang w:eastAsia="es-VE"/>
        </w:rPr>
        <w:t xml:space="preserve"> las acciones de control o auditorías viales que se consideren pertinentes de acuerdo a la caracterización que se haya realizado, en vehículos propios y si es necesario en proveedores</w:t>
      </w:r>
    </w:p>
    <w:p w14:paraId="6317EB41">
      <w:pPr>
        <w:numPr>
          <w:ilvl w:val="0"/>
          <w:numId w:val="11"/>
        </w:numPr>
        <w:suppressAutoHyphens/>
        <w:spacing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color w:val="000000"/>
          <w:kern w:val="1"/>
          <w:sz w:val="24"/>
          <w:szCs w:val="24"/>
          <w:lang w:val="es-VE" w:eastAsia="es-VE"/>
        </w:rPr>
        <w:t>Presentar</w:t>
      </w:r>
      <w:r>
        <w:rPr>
          <w:rFonts w:asciiTheme="minorHAnsi" w:hAnsiTheme="minorHAnsi" w:cstheme="minorHAnsi"/>
          <w:color w:val="000000"/>
          <w:kern w:val="1"/>
          <w:sz w:val="24"/>
          <w:szCs w:val="24"/>
          <w:lang w:eastAsia="es-VE"/>
        </w:rPr>
        <w:t xml:space="preserve"> y proponer, las campañas y acciones de acompañamiento a desarrollar durante toda la vigencia como complemento al plan de trabajo.</w:t>
      </w:r>
    </w:p>
    <w:p w14:paraId="27A91327">
      <w:pPr>
        <w:numPr>
          <w:ilvl w:val="0"/>
          <w:numId w:val="11"/>
        </w:numPr>
        <w:suppressAutoHyphens/>
        <w:spacing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kern w:val="1"/>
          <w:sz w:val="24"/>
          <w:szCs w:val="24"/>
          <w:lang w:eastAsia="es-CO"/>
        </w:rPr>
        <w:t>Apoyar a la oficina jurídica en los temas relacionados de contratación de vehículos en cualquier modalidad y realizar el seguimiento al cumplimiento de lo legalmente establecido a nivel nacional.</w:t>
      </w:r>
    </w:p>
    <w:p w14:paraId="1C508048">
      <w:pPr>
        <w:numPr>
          <w:ilvl w:val="0"/>
          <w:numId w:val="11"/>
        </w:numPr>
        <w:suppressAutoHyphens/>
        <w:spacing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color w:val="000000"/>
          <w:kern w:val="1"/>
          <w:sz w:val="24"/>
          <w:szCs w:val="24"/>
          <w:lang w:val="es-VE" w:eastAsia="es-VE"/>
        </w:rPr>
        <w:t>Establecer</w:t>
      </w:r>
      <w:r>
        <w:rPr>
          <w:rFonts w:asciiTheme="minorHAnsi" w:hAnsiTheme="minorHAnsi" w:cstheme="minorHAnsi"/>
          <w:color w:val="000000"/>
          <w:kern w:val="1"/>
          <w:sz w:val="24"/>
          <w:szCs w:val="24"/>
          <w:lang w:eastAsia="es-VE"/>
        </w:rPr>
        <w:t xml:space="preserve"> los cronogramas de las dos (2) reuniones obligatorias del CRSV, de las capacitaciones complementarias y de las actividades del plan de trabajo, además de hacer el seguimiento de las mismas, teniendo como respaldo las evidencias de la realización de dichas actividades.</w:t>
      </w:r>
    </w:p>
    <w:p w14:paraId="57561E13">
      <w:pPr>
        <w:numPr>
          <w:ilvl w:val="0"/>
          <w:numId w:val="11"/>
        </w:numPr>
        <w:suppressAutoHyphens/>
        <w:spacing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color w:val="000000"/>
          <w:kern w:val="1"/>
          <w:sz w:val="24"/>
          <w:szCs w:val="24"/>
          <w:lang w:eastAsia="es-VE"/>
        </w:rPr>
        <w:t>Responder ante las auditorias que se realicen desde ministerios, secretarias de movilidad, grupo de Seguridad y Salud en el Trabajo o del grupo SIGA, en temas viales, implementación, documentación, etc.</w:t>
      </w:r>
    </w:p>
    <w:p w14:paraId="1DCCA987">
      <w:pPr>
        <w:numPr>
          <w:ilvl w:val="0"/>
          <w:numId w:val="11"/>
        </w:numPr>
        <w:suppressAutoHyphens/>
        <w:spacing w:line="276" w:lineRule="auto"/>
        <w:ind w:left="540" w:hanging="540"/>
        <w:rPr>
          <w:rFonts w:eastAsia="Calibri" w:asciiTheme="minorHAnsi" w:hAnsiTheme="minorHAnsi" w:cstheme="minorHAnsi"/>
          <w:kern w:val="1"/>
          <w:sz w:val="24"/>
          <w:szCs w:val="24"/>
          <w:lang w:val="es-VE" w:eastAsia="en-US"/>
        </w:rPr>
      </w:pPr>
      <w:r>
        <w:rPr>
          <w:rFonts w:asciiTheme="minorHAnsi" w:hAnsiTheme="minorHAnsi" w:cstheme="minorHAnsi"/>
          <w:color w:val="000000"/>
          <w:kern w:val="1"/>
          <w:sz w:val="24"/>
          <w:szCs w:val="24"/>
          <w:lang w:val="es-VE" w:eastAsia="es-VE"/>
        </w:rPr>
        <w:t xml:space="preserve">Elaborar </w:t>
      </w:r>
      <w:r>
        <w:rPr>
          <w:rFonts w:asciiTheme="minorHAnsi" w:hAnsiTheme="minorHAnsi" w:cstheme="minorHAnsi"/>
          <w:color w:val="000000"/>
          <w:kern w:val="1"/>
          <w:sz w:val="24"/>
          <w:szCs w:val="24"/>
          <w:lang w:eastAsia="es-VE"/>
        </w:rPr>
        <w:t>los informes periódicos para la Coordinación de Seguridad y Salud en el Trabajo, la Dirección General, Ministerio de Transporte, organismo de tránsito u otros interesados, que den cuenta de las acciones programas, adelantados y por ejecutar, analizando el impacto, costo-beneficio y</w:t>
      </w:r>
      <w:r>
        <w:rPr>
          <w:rFonts w:eastAsia="Calibri" w:asciiTheme="minorHAnsi" w:hAnsiTheme="minorHAnsi" w:cstheme="minorHAnsi"/>
          <w:kern w:val="1"/>
          <w:sz w:val="24"/>
          <w:szCs w:val="24"/>
          <w:lang w:val="es-VE" w:eastAsia="en-US"/>
        </w:rPr>
        <w:t xml:space="preserve"> </w:t>
      </w:r>
      <w:r>
        <w:rPr>
          <w:rFonts w:asciiTheme="minorHAnsi" w:hAnsiTheme="minorHAnsi" w:cstheme="minorHAnsi"/>
          <w:color w:val="000000"/>
          <w:kern w:val="1"/>
          <w:sz w:val="24"/>
          <w:szCs w:val="24"/>
          <w:lang w:eastAsia="es-VE"/>
        </w:rPr>
        <w:t xml:space="preserve">aporte en la generación de hábitos, </w:t>
      </w:r>
      <w:r>
        <w:rPr>
          <w:rFonts w:asciiTheme="minorHAnsi" w:hAnsiTheme="minorHAnsi" w:cstheme="minorHAnsi"/>
          <w:color w:val="000000"/>
          <w:kern w:val="1"/>
          <w:sz w:val="24"/>
          <w:szCs w:val="24"/>
          <w:lang w:eastAsia="es-MX"/>
        </w:rPr>
        <w:t>comportamientos y conductas favorables a la seguridad vial del país.</w:t>
      </w:r>
    </w:p>
    <w:p w14:paraId="4F9065BA">
      <w:pPr>
        <w:suppressAutoHyphens/>
        <w:spacing w:line="276" w:lineRule="auto"/>
        <w:ind w:left="1134"/>
        <w:rPr>
          <w:rFonts w:eastAsia="Calibri" w:asciiTheme="minorHAnsi" w:hAnsiTheme="minorHAnsi" w:cstheme="minorHAnsi"/>
          <w:kern w:val="1"/>
          <w:sz w:val="24"/>
          <w:szCs w:val="24"/>
          <w:lang w:val="es-VE" w:eastAsia="en-US"/>
        </w:rPr>
      </w:pPr>
    </w:p>
    <w:p w14:paraId="719B678F">
      <w:pPr>
        <w:pStyle w:val="51"/>
        <w:numPr>
          <w:ilvl w:val="0"/>
          <w:numId w:val="7"/>
        </w:numPr>
        <w:rPr>
          <w:b/>
          <w:bCs/>
        </w:rPr>
      </w:pPr>
      <w:bookmarkStart w:id="43" w:name="_Toc453838988"/>
      <w:bookmarkStart w:id="44" w:name="_Toc497814212"/>
      <w:bookmarkStart w:id="45" w:name="_Toc487117353"/>
      <w:bookmarkStart w:id="46" w:name="_Toc519172505"/>
      <w:bookmarkStart w:id="47" w:name="_Toc497841865"/>
      <w:r>
        <w:rPr>
          <w:b/>
          <w:bCs/>
        </w:rPr>
        <w:t>FRECUENCIA DE REUNIONES</w:t>
      </w:r>
      <w:bookmarkEnd w:id="43"/>
      <w:bookmarkEnd w:id="44"/>
      <w:bookmarkEnd w:id="45"/>
      <w:bookmarkEnd w:id="46"/>
      <w:bookmarkEnd w:id="47"/>
    </w:p>
    <w:p w14:paraId="71E0D4BA">
      <w:pPr>
        <w:spacing w:line="276" w:lineRule="auto"/>
        <w:rPr>
          <w:rFonts w:asciiTheme="minorHAnsi" w:hAnsiTheme="minorHAnsi" w:cstheme="minorHAnsi"/>
          <w:sz w:val="24"/>
          <w:szCs w:val="24"/>
          <w:lang w:eastAsia="es-CO"/>
        </w:rPr>
      </w:pPr>
    </w:p>
    <w:p w14:paraId="594DE678">
      <w:pPr>
        <w:autoSpaceDE w:val="0"/>
        <w:autoSpaceDN w:val="0"/>
        <w:adjustRightInd w:val="0"/>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El Comité Nacional y los Comités Regionales de Seguridad Vial País, deben:</w:t>
      </w:r>
    </w:p>
    <w:p w14:paraId="1C8F7006">
      <w:pPr>
        <w:autoSpaceDE w:val="0"/>
        <w:autoSpaceDN w:val="0"/>
        <w:adjustRightInd w:val="0"/>
        <w:spacing w:line="276" w:lineRule="auto"/>
        <w:rPr>
          <w:rFonts w:eastAsia="Calibri" w:asciiTheme="minorHAnsi" w:hAnsiTheme="minorHAnsi" w:cstheme="minorHAnsi"/>
          <w:sz w:val="24"/>
          <w:szCs w:val="24"/>
          <w:lang w:eastAsia="en-US"/>
        </w:rPr>
      </w:pPr>
    </w:p>
    <w:p w14:paraId="45C95545">
      <w:pPr>
        <w:numPr>
          <w:ilvl w:val="3"/>
          <w:numId w:val="12"/>
        </w:numPr>
        <w:autoSpaceDE w:val="0"/>
        <w:autoSpaceDN w:val="0"/>
        <w:adjustRightInd w:val="0"/>
        <w:spacing w:line="276" w:lineRule="auto"/>
        <w:ind w:left="540" w:hanging="540"/>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Reunirse como mínimo</w:t>
      </w:r>
      <w:r>
        <w:rPr>
          <w:rFonts w:eastAsia="Calibri" w:asciiTheme="minorHAnsi" w:hAnsiTheme="minorHAnsi" w:cstheme="minorHAnsi"/>
          <w:color w:val="00B050"/>
          <w:sz w:val="24"/>
          <w:szCs w:val="24"/>
          <w:lang w:eastAsia="en-US"/>
        </w:rPr>
        <w:t xml:space="preserve"> una (1) vez por trimestre</w:t>
      </w:r>
      <w:r>
        <w:rPr>
          <w:rFonts w:eastAsia="Calibri" w:asciiTheme="minorHAnsi" w:hAnsiTheme="minorHAnsi" w:cstheme="minorHAnsi"/>
          <w:sz w:val="24"/>
          <w:szCs w:val="24"/>
          <w:lang w:eastAsia="en-US"/>
        </w:rPr>
        <w:t>.</w:t>
      </w:r>
    </w:p>
    <w:p w14:paraId="57D90FA8">
      <w:pPr>
        <w:numPr>
          <w:ilvl w:val="3"/>
          <w:numId w:val="12"/>
        </w:numPr>
        <w:autoSpaceDE w:val="0"/>
        <w:autoSpaceDN w:val="0"/>
        <w:adjustRightInd w:val="0"/>
        <w:spacing w:line="276" w:lineRule="auto"/>
        <w:ind w:left="540" w:hanging="540"/>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Reunirse de forma extraordinaria cada vez que se considere necesario.</w:t>
      </w:r>
    </w:p>
    <w:p w14:paraId="3D3A86D5">
      <w:pPr>
        <w:autoSpaceDE w:val="0"/>
        <w:autoSpaceDN w:val="0"/>
        <w:adjustRightInd w:val="0"/>
        <w:spacing w:line="276" w:lineRule="auto"/>
        <w:rPr>
          <w:rFonts w:eastAsia="Calibri" w:asciiTheme="minorHAnsi" w:hAnsiTheme="minorHAnsi" w:cstheme="minorHAnsi"/>
          <w:sz w:val="24"/>
          <w:szCs w:val="24"/>
          <w:lang w:eastAsia="en-US"/>
        </w:rPr>
      </w:pPr>
    </w:p>
    <w:p w14:paraId="09537B50">
      <w:pPr>
        <w:autoSpaceDE w:val="0"/>
        <w:autoSpaceDN w:val="0"/>
        <w:adjustRightInd w:val="0"/>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Los integrantes del Comité Nacional–CNSV y de los Comités Regionales-CRSV, podrán enviar sus sugerencias e inquietudes sobre los temas a tratar con cinco (05) días hábiles de anticipación para las reuniones de carácter ordinarias y con dos (02) días hábiles de anticipación para las reuniones de carácter extraordinaria.</w:t>
      </w:r>
    </w:p>
    <w:p w14:paraId="62AE6F0C">
      <w:pPr>
        <w:autoSpaceDE w:val="0"/>
        <w:autoSpaceDN w:val="0"/>
        <w:adjustRightInd w:val="0"/>
        <w:spacing w:line="276" w:lineRule="auto"/>
        <w:rPr>
          <w:rFonts w:eastAsia="Calibri" w:asciiTheme="minorHAnsi" w:hAnsiTheme="minorHAnsi" w:cstheme="minorHAnsi"/>
          <w:sz w:val="24"/>
          <w:szCs w:val="24"/>
          <w:lang w:eastAsia="en-US"/>
        </w:rPr>
      </w:pPr>
    </w:p>
    <w:p w14:paraId="58E70808">
      <w:pPr>
        <w:autoSpaceDE w:val="0"/>
        <w:autoSpaceDN w:val="0"/>
        <w:adjustRightInd w:val="0"/>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En cada reunión, el Comité Nacional - CNSV y de los Comités Regionales - CRSV se deben analizar y evaluar las novedades presentadas, hacer seguimiento al cumplimiento de las acciones e indicadores trazados, diseñar las actividades, planes y cronogramas a desarrollar en el período siguiente, dejando los respectivos registros, actas, informes y documentos de la plataforma compromISO, como parte de las evidencias de implementación</w:t>
      </w:r>
    </w:p>
    <w:p w14:paraId="456375AF">
      <w:pPr>
        <w:spacing w:line="276" w:lineRule="auto"/>
        <w:rPr>
          <w:rFonts w:asciiTheme="minorHAnsi" w:hAnsiTheme="minorHAnsi" w:cstheme="minorHAnsi"/>
          <w:b/>
          <w:bCs/>
          <w:sz w:val="24"/>
          <w:szCs w:val="24"/>
        </w:rPr>
      </w:pPr>
    </w:p>
    <w:p w14:paraId="0F40EC75">
      <w:pPr>
        <w:pStyle w:val="3"/>
        <w:numPr>
          <w:ilvl w:val="1"/>
          <w:numId w:val="4"/>
        </w:numPr>
        <w:spacing w:after="0" w:line="276" w:lineRule="auto"/>
        <w:ind w:left="540" w:hanging="540"/>
        <w:rPr>
          <w:rFonts w:asciiTheme="minorHAnsi" w:hAnsiTheme="minorHAnsi" w:cstheme="minorHAnsi"/>
          <w:color w:val="auto"/>
          <w:sz w:val="24"/>
        </w:rPr>
      </w:pPr>
      <w:bookmarkStart w:id="48" w:name="_Toc188966780"/>
      <w:r>
        <w:rPr>
          <w:rFonts w:asciiTheme="minorHAnsi" w:hAnsiTheme="minorHAnsi" w:cstheme="minorHAnsi"/>
          <w:color w:val="auto"/>
          <w:sz w:val="24"/>
        </w:rPr>
        <w:t>POLITICA DE SEGURIDAD VIAL</w:t>
      </w:r>
      <w:bookmarkEnd w:id="48"/>
    </w:p>
    <w:p w14:paraId="0A65A885">
      <w:pPr>
        <w:autoSpaceDE w:val="0"/>
        <w:autoSpaceDN w:val="0"/>
        <w:adjustRightInd w:val="0"/>
        <w:spacing w:line="276" w:lineRule="auto"/>
        <w:rPr>
          <w:rFonts w:asciiTheme="minorHAnsi" w:hAnsiTheme="minorHAnsi" w:cstheme="minorHAnsi"/>
          <w:bCs/>
          <w:kern w:val="1"/>
          <w:sz w:val="24"/>
          <w:szCs w:val="24"/>
        </w:rPr>
      </w:pPr>
      <w:r>
        <w:rPr>
          <w:rFonts w:asciiTheme="minorHAnsi" w:hAnsiTheme="minorHAnsi" w:cstheme="minorHAnsi"/>
          <w:sz w:val="24"/>
          <w:szCs w:val="24"/>
        </w:rPr>
        <w:t>El SENA</w:t>
      </w:r>
      <w:r>
        <w:rPr>
          <w:rFonts w:asciiTheme="minorHAnsi" w:hAnsiTheme="minorHAnsi" w:cstheme="minorHAnsi"/>
          <w:bCs/>
          <w:kern w:val="1"/>
          <w:sz w:val="24"/>
          <w:szCs w:val="24"/>
        </w:rPr>
        <w:t xml:space="preserve"> posee un Sistema Integrado de Gestión y Autocontrol - SIGA el cual está conformado por las siguientes políticas, que fueron aprobadas </w:t>
      </w:r>
      <w:r>
        <w:rPr>
          <w:rFonts w:asciiTheme="minorHAnsi" w:hAnsiTheme="minorHAnsi" w:cstheme="minorHAnsi"/>
          <w:color w:val="000000"/>
          <w:sz w:val="24"/>
          <w:szCs w:val="24"/>
        </w:rPr>
        <w:t>por el Consejo Directivo Nacional mediante Acuerdo 0007 de 2016 y que se encuentran en la plataforma compromISO</w:t>
      </w:r>
      <w:r>
        <w:rPr>
          <w:rFonts w:asciiTheme="minorHAnsi" w:hAnsiTheme="minorHAnsi" w:cstheme="minorHAnsi"/>
          <w:bCs/>
          <w:kern w:val="1"/>
          <w:sz w:val="24"/>
          <w:szCs w:val="24"/>
        </w:rPr>
        <w:t>:</w:t>
      </w:r>
    </w:p>
    <w:p w14:paraId="78FEAA8A">
      <w:pPr>
        <w:autoSpaceDE w:val="0"/>
        <w:autoSpaceDN w:val="0"/>
        <w:adjustRightInd w:val="0"/>
        <w:spacing w:line="276" w:lineRule="auto"/>
        <w:rPr>
          <w:rFonts w:asciiTheme="minorHAnsi" w:hAnsiTheme="minorHAnsi" w:cstheme="minorHAnsi"/>
          <w:bCs/>
          <w:kern w:val="1"/>
          <w:sz w:val="24"/>
          <w:szCs w:val="24"/>
        </w:rPr>
      </w:pPr>
    </w:p>
    <w:p w14:paraId="5CE16120">
      <w:pPr>
        <w:numPr>
          <w:ilvl w:val="0"/>
          <w:numId w:val="13"/>
        </w:numPr>
        <w:spacing w:line="276" w:lineRule="auto"/>
        <w:ind w:left="540" w:hanging="540"/>
        <w:rPr>
          <w:rFonts w:asciiTheme="minorHAnsi" w:hAnsiTheme="minorHAnsi" w:cstheme="minorHAnsi"/>
          <w:sz w:val="24"/>
          <w:szCs w:val="24"/>
        </w:rPr>
      </w:pPr>
      <w:r>
        <w:rPr>
          <w:rFonts w:asciiTheme="minorHAnsi" w:hAnsiTheme="minorHAnsi" w:cstheme="minorHAnsi"/>
          <w:sz w:val="24"/>
          <w:szCs w:val="24"/>
        </w:rPr>
        <w:t>POLÍTICA DE CALIDAD.</w:t>
      </w:r>
    </w:p>
    <w:p w14:paraId="4D57DF2B">
      <w:pPr>
        <w:numPr>
          <w:ilvl w:val="0"/>
          <w:numId w:val="13"/>
        </w:numPr>
        <w:shd w:val="clear" w:color="auto" w:fill="FFFFFF"/>
        <w:spacing w:line="276" w:lineRule="auto"/>
        <w:ind w:left="540" w:hanging="540"/>
        <w:rPr>
          <w:rFonts w:asciiTheme="minorHAnsi" w:hAnsiTheme="minorHAnsi" w:cstheme="minorHAnsi"/>
          <w:color w:val="000000"/>
          <w:sz w:val="24"/>
          <w:szCs w:val="24"/>
        </w:rPr>
      </w:pPr>
      <w:r>
        <w:rPr>
          <w:rFonts w:asciiTheme="minorHAnsi" w:hAnsiTheme="minorHAnsi" w:cstheme="minorHAnsi"/>
          <w:sz w:val="24"/>
          <w:szCs w:val="24"/>
        </w:rPr>
        <w:t>POLÍTICA AMBIENTAL.</w:t>
      </w:r>
    </w:p>
    <w:p w14:paraId="3F194698">
      <w:pPr>
        <w:numPr>
          <w:ilvl w:val="0"/>
          <w:numId w:val="13"/>
        </w:numPr>
        <w:shd w:val="clear" w:color="auto" w:fill="FFFFFF"/>
        <w:spacing w:line="276" w:lineRule="auto"/>
        <w:ind w:left="540" w:hanging="540"/>
        <w:rPr>
          <w:rFonts w:asciiTheme="minorHAnsi" w:hAnsiTheme="minorHAnsi" w:cstheme="minorHAnsi"/>
          <w:color w:val="000000"/>
          <w:sz w:val="24"/>
          <w:szCs w:val="24"/>
        </w:rPr>
      </w:pPr>
      <w:r>
        <w:rPr>
          <w:rFonts w:asciiTheme="minorHAnsi" w:hAnsiTheme="minorHAnsi" w:cstheme="minorHAnsi"/>
          <w:sz w:val="24"/>
          <w:szCs w:val="24"/>
        </w:rPr>
        <w:t>POLÍTICA SEGURIDAD Y SALUD EN EL TRABAJO – EMPRESA LABORALMENTE SALUDABLE​</w:t>
      </w:r>
    </w:p>
    <w:p w14:paraId="47B6041E">
      <w:pPr>
        <w:numPr>
          <w:ilvl w:val="0"/>
          <w:numId w:val="13"/>
        </w:numPr>
        <w:shd w:val="clear" w:color="auto" w:fill="FFFFFF"/>
        <w:spacing w:line="276" w:lineRule="auto"/>
        <w:ind w:left="540" w:hanging="540"/>
        <w:rPr>
          <w:rFonts w:asciiTheme="minorHAnsi" w:hAnsiTheme="minorHAnsi" w:cstheme="minorHAnsi"/>
          <w:color w:val="000000"/>
          <w:sz w:val="24"/>
          <w:szCs w:val="24"/>
        </w:rPr>
      </w:pPr>
      <w:r>
        <w:rPr>
          <w:rFonts w:asciiTheme="minorHAnsi" w:hAnsiTheme="minorHAnsi" w:cstheme="minorHAnsi"/>
          <w:sz w:val="24"/>
          <w:szCs w:val="24"/>
        </w:rPr>
        <w:t>POLÍTICA DEL SUBSISTEMA GESTIÓN DE SEGURIDAD DE LA INFORMACIÓN​</w:t>
      </w:r>
    </w:p>
    <w:p w14:paraId="2CC8D701">
      <w:pPr>
        <w:numPr>
          <w:ilvl w:val="0"/>
          <w:numId w:val="13"/>
        </w:numPr>
        <w:shd w:val="clear" w:color="auto" w:fill="FFFFFF"/>
        <w:spacing w:line="276" w:lineRule="auto"/>
        <w:ind w:left="540" w:hanging="540"/>
        <w:rPr>
          <w:rFonts w:asciiTheme="minorHAnsi" w:hAnsiTheme="minorHAnsi" w:cstheme="minorHAnsi"/>
          <w:color w:val="000000"/>
          <w:sz w:val="24"/>
          <w:szCs w:val="24"/>
        </w:rPr>
      </w:pPr>
      <w:r>
        <w:rPr>
          <w:rFonts w:asciiTheme="minorHAnsi" w:hAnsiTheme="minorHAnsi" w:cstheme="minorHAnsi"/>
          <w:sz w:val="24"/>
          <w:szCs w:val="24"/>
        </w:rPr>
        <w:t>POLÍTICA DEL MECI.</w:t>
      </w:r>
    </w:p>
    <w:p w14:paraId="2FED0E9E">
      <w:pPr>
        <w:shd w:val="clear" w:color="auto" w:fill="FFFFFF"/>
        <w:spacing w:line="276" w:lineRule="auto"/>
        <w:ind w:left="540"/>
        <w:rPr>
          <w:rFonts w:asciiTheme="minorHAnsi" w:hAnsiTheme="minorHAnsi" w:cstheme="minorHAnsi"/>
          <w:color w:val="000000"/>
          <w:sz w:val="24"/>
          <w:szCs w:val="24"/>
        </w:rPr>
      </w:pPr>
    </w:p>
    <w:p w14:paraId="3456814A">
      <w:pPr>
        <w:rPr>
          <w:b/>
          <w:bCs/>
          <w:color w:val="000000"/>
        </w:rPr>
      </w:pPr>
      <w:bookmarkStart w:id="49" w:name="_Toc519172508"/>
      <w:commentRangeStart w:id="1"/>
      <w:r>
        <w:rPr>
          <w:b/>
          <w:bCs/>
          <w:highlight w:val="yellow"/>
        </w:rPr>
        <w:t>POLÍTICA NACIONAL DE SEGURIDAD</w:t>
      </w:r>
      <w:r>
        <w:rPr>
          <w:b/>
          <w:bCs/>
        </w:rPr>
        <w:t xml:space="preserve"> </w:t>
      </w:r>
      <w:commentRangeEnd w:id="1"/>
      <w:r>
        <w:rPr>
          <w:rStyle w:val="13"/>
          <w:rFonts w:eastAsia="Calibri"/>
          <w:b/>
          <w:bCs/>
          <w:lang w:eastAsia="en-US"/>
        </w:rPr>
        <w:commentReference w:id="1"/>
      </w:r>
      <w:r>
        <w:rPr>
          <w:b/>
          <w:bCs/>
        </w:rPr>
        <w:t>VIAL DEL SENA</w:t>
      </w:r>
      <w:bookmarkEnd w:id="49"/>
    </w:p>
    <w:p w14:paraId="75AACF11">
      <w:pPr>
        <w:pStyle w:val="30"/>
        <w:spacing w:before="0" w:beforeAutospacing="0" w:after="0" w:afterAutospacing="0" w:line="276" w:lineRule="auto"/>
        <w:rPr>
          <w:rFonts w:asciiTheme="minorHAnsi" w:hAnsiTheme="minorHAnsi" w:cstheme="minorHAnsi"/>
          <w:sz w:val="24"/>
        </w:rPr>
      </w:pPr>
    </w:p>
    <w:p w14:paraId="34D6C18D">
      <w:pPr>
        <w:pStyle w:val="30"/>
        <w:spacing w:before="0" w:beforeAutospacing="0" w:after="0" w:afterAutospacing="0" w:line="276" w:lineRule="auto"/>
        <w:rPr>
          <w:rFonts w:asciiTheme="minorHAnsi" w:hAnsiTheme="minorHAnsi" w:cstheme="minorHAnsi"/>
          <w:sz w:val="24"/>
        </w:rPr>
      </w:pPr>
      <w:r>
        <w:rPr>
          <w:rFonts w:asciiTheme="minorHAnsi" w:hAnsiTheme="minorHAnsi" w:cstheme="minorHAnsi"/>
          <w:sz w:val="24"/>
          <w:highlight w:val="yellow"/>
        </w:rPr>
        <w:t>El SENA asume la implementación del Subsistema de Gestión de la Seguridad y Salud en el Trabajo, del cual hace parte el Plan Estratégico de Seguridad Vial</w:t>
      </w:r>
      <w:r>
        <w:rPr>
          <w:rFonts w:asciiTheme="minorHAnsi" w:hAnsiTheme="minorHAnsi" w:cstheme="minorHAnsi"/>
          <w:sz w:val="24"/>
        </w:rPr>
        <w:t>, que servirá de base para fomentar los hábitos, conductas, comportamientos de prevención frente al tránsito y la definición de la gestión de riesgos viales laborales</w:t>
      </w:r>
      <w:r>
        <w:rPr>
          <w:rFonts w:asciiTheme="minorHAnsi" w:hAnsiTheme="minorHAnsi" w:cstheme="minorHAnsi"/>
          <w:color w:val="00B050"/>
          <w:sz w:val="24"/>
        </w:rPr>
        <w:t xml:space="preserve"> y durante trayectos in itienere</w:t>
      </w:r>
      <w:r>
        <w:rPr>
          <w:rFonts w:asciiTheme="minorHAnsi" w:hAnsiTheme="minorHAnsi" w:cstheme="minorHAnsi"/>
          <w:sz w:val="24"/>
        </w:rPr>
        <w:t>, enmarcado en un proceso de mejora continua que promueva y asegure traslados en misión seguros, contribuyendo así al desarrollo de la misión de la entidad y cumplimiento de requisitos de ley aplicables.</w:t>
      </w:r>
    </w:p>
    <w:p w14:paraId="2DCC1A29">
      <w:pPr>
        <w:pStyle w:val="30"/>
        <w:spacing w:line="276" w:lineRule="auto"/>
        <w:rPr>
          <w:rFonts w:asciiTheme="minorHAnsi" w:hAnsiTheme="minorHAnsi" w:cstheme="minorHAnsi"/>
          <w:sz w:val="24"/>
        </w:rPr>
      </w:pPr>
      <w:r>
        <w:rPr>
          <w:rFonts w:asciiTheme="minorHAnsi" w:hAnsiTheme="minorHAnsi" w:cstheme="minorHAnsi"/>
          <w:sz w:val="24"/>
        </w:rPr>
        <w:t>En cumplimiento de lo anterior, el SENA realiza acciones para generar una cultura de seguridad vial, comprometiéndose a:</w:t>
      </w:r>
    </w:p>
    <w:p w14:paraId="19893450">
      <w:pPr>
        <w:numPr>
          <w:ilvl w:val="0"/>
          <w:numId w:val="14"/>
        </w:numPr>
        <w:spacing w:line="276" w:lineRule="auto"/>
        <w:ind w:left="540" w:hanging="540"/>
        <w:rPr>
          <w:rFonts w:asciiTheme="minorHAnsi" w:hAnsiTheme="minorHAnsi" w:cstheme="minorHAnsi"/>
          <w:color w:val="00B050"/>
          <w:sz w:val="24"/>
          <w:szCs w:val="24"/>
        </w:rPr>
      </w:pPr>
      <w:r>
        <w:rPr>
          <w:rFonts w:asciiTheme="minorHAnsi" w:hAnsiTheme="minorHAnsi" w:cstheme="minorHAnsi"/>
          <w:color w:val="00B050"/>
          <w:sz w:val="24"/>
          <w:szCs w:val="24"/>
        </w:rPr>
        <w:t>Generar acciones y estrategias que contribuyan a la prevención de siniestros viales durante los desplazamientos laborales, mediante la identificación y gestión de riesgos viales, asegurando el óptimo estado de los vehículos que realizan desplazamientos al servicio de la compañía</w:t>
      </w:r>
    </w:p>
    <w:p w14:paraId="7CDF3340">
      <w:pPr>
        <w:numPr>
          <w:ilvl w:val="0"/>
          <w:numId w:val="14"/>
        </w:numPr>
        <w:spacing w:line="276" w:lineRule="auto"/>
        <w:ind w:left="540" w:hanging="540"/>
        <w:rPr>
          <w:rFonts w:asciiTheme="minorHAnsi" w:hAnsiTheme="minorHAnsi" w:cstheme="minorHAnsi"/>
          <w:color w:val="00B050"/>
          <w:sz w:val="24"/>
          <w:szCs w:val="24"/>
        </w:rPr>
      </w:pPr>
      <w:r>
        <w:rPr>
          <w:rFonts w:asciiTheme="minorHAnsi" w:hAnsiTheme="minorHAnsi" w:cstheme="minorHAnsi"/>
          <w:color w:val="00B050"/>
          <w:sz w:val="24"/>
          <w:szCs w:val="24"/>
        </w:rPr>
        <w:t xml:space="preserve">Implementar programas de formación que promuevan la generación de comportamientos interdependientes, el respeto de las normas de tránsito y cumplimiento de los requisitos en seguridad vial aplicables.   </w:t>
      </w:r>
    </w:p>
    <w:p w14:paraId="0A146BDE">
      <w:pPr>
        <w:numPr>
          <w:ilvl w:val="0"/>
          <w:numId w:val="14"/>
        </w:numPr>
        <w:spacing w:line="276" w:lineRule="auto"/>
        <w:ind w:left="540" w:hanging="540"/>
        <w:rPr>
          <w:rFonts w:asciiTheme="minorHAnsi" w:hAnsiTheme="minorHAnsi" w:cstheme="minorHAnsi"/>
          <w:sz w:val="24"/>
          <w:szCs w:val="24"/>
        </w:rPr>
      </w:pPr>
      <w:commentRangeStart w:id="2"/>
      <w:r>
        <w:rPr>
          <w:rFonts w:asciiTheme="minorHAnsi" w:hAnsiTheme="minorHAnsi" w:cstheme="minorHAnsi"/>
          <w:sz w:val="24"/>
          <w:szCs w:val="24"/>
        </w:rPr>
        <w:t xml:space="preserve">Promover y respetar las horas de conducción y de descansos. </w:t>
      </w:r>
    </w:p>
    <w:p w14:paraId="4C7AD660">
      <w:pPr>
        <w:numPr>
          <w:ilvl w:val="0"/>
          <w:numId w:val="14"/>
        </w:numPr>
        <w:spacing w:line="276" w:lineRule="auto"/>
        <w:ind w:left="540" w:hanging="540"/>
        <w:rPr>
          <w:rFonts w:asciiTheme="minorHAnsi" w:hAnsiTheme="minorHAnsi" w:cstheme="minorHAnsi"/>
          <w:sz w:val="24"/>
          <w:szCs w:val="24"/>
        </w:rPr>
      </w:pPr>
      <w:r>
        <w:rPr>
          <w:rFonts w:asciiTheme="minorHAnsi" w:hAnsiTheme="minorHAnsi" w:cstheme="minorHAnsi"/>
          <w:sz w:val="24"/>
          <w:szCs w:val="24"/>
        </w:rPr>
        <w:t xml:space="preserve">Promover el uso obligatorio de cinturones de seguridad. </w:t>
      </w:r>
    </w:p>
    <w:p w14:paraId="1F7EF998">
      <w:pPr>
        <w:numPr>
          <w:ilvl w:val="0"/>
          <w:numId w:val="14"/>
        </w:numPr>
        <w:spacing w:line="276" w:lineRule="auto"/>
        <w:ind w:left="540" w:hanging="540"/>
        <w:rPr>
          <w:rFonts w:asciiTheme="minorHAnsi" w:hAnsiTheme="minorHAnsi" w:cstheme="minorHAnsi"/>
          <w:sz w:val="24"/>
          <w:szCs w:val="24"/>
        </w:rPr>
      </w:pPr>
      <w:r>
        <w:rPr>
          <w:rFonts w:asciiTheme="minorHAnsi" w:hAnsiTheme="minorHAnsi" w:cstheme="minorHAnsi"/>
          <w:sz w:val="24"/>
          <w:szCs w:val="24"/>
        </w:rPr>
        <w:t>Prohibir el consumo de alcohol y/o sustancias psicoactivas.</w:t>
      </w:r>
    </w:p>
    <w:p w14:paraId="6539F217">
      <w:pPr>
        <w:numPr>
          <w:ilvl w:val="0"/>
          <w:numId w:val="14"/>
        </w:numPr>
        <w:spacing w:line="276" w:lineRule="auto"/>
        <w:ind w:left="540" w:hanging="540"/>
        <w:rPr>
          <w:rFonts w:asciiTheme="minorHAnsi" w:hAnsiTheme="minorHAnsi" w:cstheme="minorHAnsi"/>
          <w:sz w:val="24"/>
          <w:szCs w:val="24"/>
        </w:rPr>
      </w:pPr>
      <w:r>
        <w:rPr>
          <w:rFonts w:asciiTheme="minorHAnsi" w:hAnsiTheme="minorHAnsi" w:cstheme="minorHAnsi"/>
          <w:sz w:val="24"/>
          <w:szCs w:val="24"/>
        </w:rPr>
        <w:t xml:space="preserve">Prohibir el uso de dispositivos móviles durante la conducción. </w:t>
      </w:r>
    </w:p>
    <w:p w14:paraId="7B094D32">
      <w:pPr>
        <w:numPr>
          <w:ilvl w:val="0"/>
          <w:numId w:val="14"/>
        </w:numPr>
        <w:spacing w:line="276" w:lineRule="auto"/>
        <w:ind w:left="540" w:hanging="540"/>
        <w:rPr>
          <w:rFonts w:asciiTheme="minorHAnsi" w:hAnsiTheme="minorHAnsi" w:cstheme="minorHAnsi"/>
          <w:sz w:val="24"/>
          <w:szCs w:val="24"/>
        </w:rPr>
      </w:pPr>
      <w:r>
        <w:rPr>
          <w:rFonts w:asciiTheme="minorHAnsi" w:hAnsiTheme="minorHAnsi" w:cstheme="minorHAnsi"/>
          <w:sz w:val="24"/>
          <w:szCs w:val="24"/>
        </w:rPr>
        <w:t xml:space="preserve">Promover la obligación de informar y reportar los accidentes automovilísticos. </w:t>
      </w:r>
    </w:p>
    <w:p w14:paraId="2EE36622">
      <w:pPr>
        <w:numPr>
          <w:ilvl w:val="0"/>
          <w:numId w:val="14"/>
        </w:numPr>
        <w:spacing w:line="276" w:lineRule="auto"/>
        <w:ind w:left="540" w:hanging="540"/>
        <w:rPr>
          <w:rFonts w:asciiTheme="minorHAnsi" w:hAnsiTheme="minorHAnsi" w:cstheme="minorHAnsi"/>
          <w:sz w:val="24"/>
          <w:szCs w:val="24"/>
        </w:rPr>
      </w:pPr>
      <w:r>
        <w:rPr>
          <w:rFonts w:asciiTheme="minorHAnsi" w:hAnsiTheme="minorHAnsi" w:cstheme="minorHAnsi"/>
          <w:sz w:val="24"/>
          <w:szCs w:val="24"/>
        </w:rPr>
        <w:t xml:space="preserve">Promover la capacitación para conductores y demás actores viales. </w:t>
      </w:r>
    </w:p>
    <w:p w14:paraId="64D200A3">
      <w:pPr>
        <w:numPr>
          <w:ilvl w:val="0"/>
          <w:numId w:val="14"/>
        </w:numPr>
        <w:spacing w:line="276" w:lineRule="auto"/>
        <w:ind w:left="540" w:hanging="540"/>
        <w:rPr>
          <w:rFonts w:asciiTheme="minorHAnsi" w:hAnsiTheme="minorHAnsi" w:cstheme="minorHAnsi"/>
          <w:sz w:val="24"/>
          <w:szCs w:val="24"/>
        </w:rPr>
      </w:pPr>
      <w:r>
        <w:rPr>
          <w:rFonts w:asciiTheme="minorHAnsi" w:hAnsiTheme="minorHAnsi" w:cstheme="minorHAnsi"/>
          <w:sz w:val="24"/>
          <w:szCs w:val="24"/>
        </w:rPr>
        <w:t>Promover el respeto de los límites de velocidad.</w:t>
      </w:r>
      <w:r>
        <w:rPr>
          <w:rFonts w:asciiTheme="minorHAnsi" w:hAnsiTheme="minorHAnsi" w:cstheme="minorHAnsi"/>
          <w:sz w:val="24"/>
          <w:szCs w:val="24"/>
        </w:rPr>
        <w:tab/>
      </w:r>
    </w:p>
    <w:p w14:paraId="676F68B2">
      <w:pPr>
        <w:numPr>
          <w:ilvl w:val="0"/>
          <w:numId w:val="14"/>
        </w:numPr>
        <w:spacing w:line="276" w:lineRule="auto"/>
        <w:ind w:left="540" w:hanging="540"/>
        <w:rPr>
          <w:rFonts w:asciiTheme="minorHAnsi" w:hAnsiTheme="minorHAnsi" w:cstheme="minorHAnsi"/>
          <w:sz w:val="24"/>
          <w:szCs w:val="24"/>
        </w:rPr>
      </w:pPr>
      <w:r>
        <w:rPr>
          <w:rFonts w:asciiTheme="minorHAnsi" w:hAnsiTheme="minorHAnsi" w:cstheme="minorHAnsi"/>
          <w:sz w:val="24"/>
          <w:szCs w:val="24"/>
        </w:rPr>
        <w:t>Promover el cumplimiento obligatorio de los requisitos de ley aplicables.</w:t>
      </w:r>
      <w:commentRangeEnd w:id="2"/>
      <w:r>
        <w:rPr>
          <w:rStyle w:val="13"/>
          <w:rFonts w:eastAsia="Calibri" w:cs="Times New Roman"/>
          <w:lang w:eastAsia="en-US"/>
        </w:rPr>
        <w:commentReference w:id="2"/>
      </w:r>
    </w:p>
    <w:p w14:paraId="38105BB1">
      <w:pPr>
        <w:spacing w:line="276" w:lineRule="auto"/>
        <w:ind w:left="1134"/>
        <w:rPr>
          <w:rFonts w:asciiTheme="minorHAnsi" w:hAnsiTheme="minorHAnsi" w:cstheme="minorHAnsi"/>
          <w:sz w:val="24"/>
          <w:szCs w:val="24"/>
        </w:rPr>
      </w:pPr>
    </w:p>
    <w:p w14:paraId="669A65C6">
      <w:pPr>
        <w:tabs>
          <w:tab w:val="left" w:pos="360"/>
        </w:tabs>
        <w:suppressAutoHyphens/>
        <w:spacing w:line="276" w:lineRule="auto"/>
        <w:ind w:right="-279"/>
        <w:rPr>
          <w:rFonts w:asciiTheme="minorHAnsi" w:hAnsiTheme="minorHAnsi" w:cstheme="minorHAnsi"/>
          <w:bCs/>
          <w:kern w:val="1"/>
          <w:sz w:val="24"/>
          <w:szCs w:val="24"/>
        </w:rPr>
      </w:pPr>
      <w:r>
        <w:rPr>
          <w:rFonts w:asciiTheme="minorHAnsi" w:hAnsiTheme="minorHAnsi" w:cstheme="minorHAnsi"/>
          <w:bCs/>
          <w:kern w:val="1"/>
          <w:sz w:val="24"/>
          <w:szCs w:val="24"/>
        </w:rPr>
        <w:t xml:space="preserve">En la política de </w:t>
      </w:r>
      <w:commentRangeStart w:id="3"/>
      <w:r>
        <w:rPr>
          <w:rFonts w:asciiTheme="minorHAnsi" w:hAnsiTheme="minorHAnsi" w:cstheme="minorHAnsi"/>
          <w:bCs/>
          <w:kern w:val="1"/>
          <w:sz w:val="24"/>
          <w:szCs w:val="24"/>
        </w:rPr>
        <w:t>Seguridad Vial se incluyeron los parámetros y regulaciones exigidas en los siguientes temas:</w:t>
      </w:r>
      <w:commentRangeEnd w:id="3"/>
      <w:r>
        <w:rPr>
          <w:rStyle w:val="13"/>
          <w:rFonts w:eastAsia="Calibri" w:cs="Times New Roman"/>
          <w:lang w:eastAsia="en-US"/>
        </w:rPr>
        <w:commentReference w:id="3"/>
      </w:r>
    </w:p>
    <w:p w14:paraId="4C3F39EA">
      <w:pPr>
        <w:tabs>
          <w:tab w:val="left" w:pos="360"/>
        </w:tabs>
        <w:suppressAutoHyphens/>
        <w:spacing w:line="276" w:lineRule="auto"/>
        <w:ind w:right="-279"/>
        <w:rPr>
          <w:rFonts w:eastAsia="Calibri" w:asciiTheme="minorHAnsi" w:hAnsiTheme="minorHAnsi" w:cstheme="minorHAnsi"/>
          <w:kern w:val="1"/>
          <w:sz w:val="24"/>
          <w:szCs w:val="24"/>
          <w:lang w:val="es-VE" w:eastAsia="en-US"/>
        </w:rPr>
      </w:pPr>
    </w:p>
    <w:p w14:paraId="309DAFCF">
      <w:pPr>
        <w:tabs>
          <w:tab w:val="left" w:pos="540"/>
        </w:tabs>
        <w:suppressAutoHyphens/>
        <w:spacing w:line="276" w:lineRule="auto"/>
        <w:ind w:left="540" w:right="-279" w:hanging="540"/>
        <w:rPr>
          <w:rFonts w:eastAsia="Calibri" w:asciiTheme="minorHAnsi" w:hAnsiTheme="minorHAnsi" w:cstheme="minorHAnsi"/>
          <w:kern w:val="1"/>
          <w:sz w:val="24"/>
          <w:szCs w:val="24"/>
          <w:lang w:val="es-VE" w:eastAsia="en-US"/>
        </w:rPr>
      </w:pPr>
      <w:r>
        <w:rPr>
          <w:rFonts w:asciiTheme="minorHAnsi" w:hAnsiTheme="minorHAnsi" w:cstheme="minorHAnsi"/>
          <w:bCs/>
          <w:kern w:val="1"/>
          <w:sz w:val="24"/>
          <w:szCs w:val="24"/>
        </w:rPr>
        <w:t>a.</w:t>
      </w:r>
      <w:r>
        <w:rPr>
          <w:rFonts w:asciiTheme="minorHAnsi" w:hAnsiTheme="minorHAnsi" w:cstheme="minorHAnsi"/>
          <w:bCs/>
          <w:kern w:val="1"/>
          <w:sz w:val="24"/>
          <w:szCs w:val="24"/>
        </w:rPr>
        <w:tab/>
      </w:r>
      <w:r>
        <w:rPr>
          <w:rFonts w:asciiTheme="minorHAnsi" w:hAnsiTheme="minorHAnsi" w:cstheme="minorHAnsi"/>
          <w:bCs/>
          <w:kern w:val="1"/>
          <w:sz w:val="24"/>
          <w:szCs w:val="24"/>
        </w:rPr>
        <w:t>Horas de conducción y descanso</w:t>
      </w:r>
    </w:p>
    <w:p w14:paraId="2C6E5DF5">
      <w:pPr>
        <w:tabs>
          <w:tab w:val="left" w:pos="540"/>
        </w:tabs>
        <w:suppressAutoHyphens/>
        <w:spacing w:line="276" w:lineRule="auto"/>
        <w:ind w:left="540" w:right="-279" w:hanging="540"/>
        <w:rPr>
          <w:rFonts w:eastAsia="Calibri" w:asciiTheme="minorHAnsi" w:hAnsiTheme="minorHAnsi" w:cstheme="minorHAnsi"/>
          <w:kern w:val="1"/>
          <w:sz w:val="24"/>
          <w:szCs w:val="24"/>
          <w:lang w:val="es-VE" w:eastAsia="en-US"/>
        </w:rPr>
      </w:pPr>
      <w:r>
        <w:rPr>
          <w:rFonts w:asciiTheme="minorHAnsi" w:hAnsiTheme="minorHAnsi" w:cstheme="minorHAnsi"/>
          <w:bCs/>
          <w:kern w:val="1"/>
          <w:sz w:val="24"/>
          <w:szCs w:val="24"/>
        </w:rPr>
        <w:t>b.</w:t>
      </w:r>
      <w:r>
        <w:rPr>
          <w:rFonts w:asciiTheme="minorHAnsi" w:hAnsiTheme="minorHAnsi" w:cstheme="minorHAnsi"/>
          <w:bCs/>
          <w:kern w:val="1"/>
          <w:sz w:val="24"/>
          <w:szCs w:val="24"/>
        </w:rPr>
        <w:tab/>
      </w:r>
      <w:r>
        <w:rPr>
          <w:rFonts w:asciiTheme="minorHAnsi" w:hAnsiTheme="minorHAnsi" w:cstheme="minorHAnsi"/>
          <w:bCs/>
          <w:kern w:val="1"/>
          <w:sz w:val="24"/>
          <w:szCs w:val="24"/>
        </w:rPr>
        <w:t>Límites de velocidad</w:t>
      </w:r>
    </w:p>
    <w:p w14:paraId="21175DF7">
      <w:pPr>
        <w:tabs>
          <w:tab w:val="left" w:pos="540"/>
        </w:tabs>
        <w:suppressAutoHyphens/>
        <w:spacing w:line="276" w:lineRule="auto"/>
        <w:ind w:left="540" w:right="-279" w:hanging="540"/>
        <w:rPr>
          <w:rFonts w:eastAsia="Calibri" w:asciiTheme="minorHAnsi" w:hAnsiTheme="minorHAnsi" w:cstheme="minorHAnsi"/>
          <w:kern w:val="1"/>
          <w:sz w:val="24"/>
          <w:szCs w:val="24"/>
          <w:lang w:val="es-VE" w:eastAsia="en-US"/>
        </w:rPr>
      </w:pPr>
      <w:r>
        <w:rPr>
          <w:rFonts w:asciiTheme="minorHAnsi" w:hAnsiTheme="minorHAnsi" w:cstheme="minorHAnsi"/>
          <w:bCs/>
          <w:kern w:val="1"/>
          <w:sz w:val="24"/>
          <w:szCs w:val="24"/>
        </w:rPr>
        <w:t>c.</w:t>
      </w:r>
      <w:r>
        <w:rPr>
          <w:rFonts w:asciiTheme="minorHAnsi" w:hAnsiTheme="minorHAnsi" w:cstheme="minorHAnsi"/>
          <w:bCs/>
          <w:kern w:val="1"/>
          <w:sz w:val="24"/>
          <w:szCs w:val="24"/>
        </w:rPr>
        <w:tab/>
      </w:r>
      <w:r>
        <w:rPr>
          <w:rFonts w:asciiTheme="minorHAnsi" w:hAnsiTheme="minorHAnsi" w:cstheme="minorHAnsi"/>
          <w:bCs/>
          <w:kern w:val="1"/>
          <w:sz w:val="24"/>
          <w:szCs w:val="24"/>
        </w:rPr>
        <w:t>Uso obligatorio de cinturón de seguridad</w:t>
      </w:r>
    </w:p>
    <w:p w14:paraId="187C9E08">
      <w:pPr>
        <w:tabs>
          <w:tab w:val="left" w:pos="540"/>
        </w:tabs>
        <w:suppressAutoHyphens/>
        <w:spacing w:line="276" w:lineRule="auto"/>
        <w:ind w:left="540" w:right="-279" w:hanging="540"/>
        <w:rPr>
          <w:rFonts w:eastAsia="Calibri" w:asciiTheme="minorHAnsi" w:hAnsiTheme="minorHAnsi" w:cstheme="minorHAnsi"/>
          <w:kern w:val="1"/>
          <w:sz w:val="24"/>
          <w:szCs w:val="24"/>
          <w:lang w:val="es-VE" w:eastAsia="en-US"/>
        </w:rPr>
      </w:pPr>
      <w:r>
        <w:rPr>
          <w:rFonts w:asciiTheme="minorHAnsi" w:hAnsiTheme="minorHAnsi" w:cstheme="minorHAnsi"/>
          <w:bCs/>
          <w:kern w:val="1"/>
          <w:sz w:val="24"/>
          <w:szCs w:val="24"/>
        </w:rPr>
        <w:t>d.</w:t>
      </w:r>
      <w:r>
        <w:rPr>
          <w:rFonts w:asciiTheme="minorHAnsi" w:hAnsiTheme="minorHAnsi" w:cstheme="minorHAnsi"/>
          <w:bCs/>
          <w:kern w:val="1"/>
          <w:sz w:val="24"/>
          <w:szCs w:val="24"/>
        </w:rPr>
        <w:tab/>
      </w:r>
      <w:r>
        <w:rPr>
          <w:rFonts w:asciiTheme="minorHAnsi" w:hAnsiTheme="minorHAnsi" w:cstheme="minorHAnsi"/>
          <w:bCs/>
          <w:kern w:val="1"/>
          <w:sz w:val="24"/>
          <w:szCs w:val="24"/>
        </w:rPr>
        <w:t>Uso y mantenimiento de los elementos de Protección Personal</w:t>
      </w:r>
    </w:p>
    <w:p w14:paraId="7FC74F73">
      <w:pPr>
        <w:tabs>
          <w:tab w:val="left" w:pos="540"/>
        </w:tabs>
        <w:suppressAutoHyphens/>
        <w:spacing w:line="276" w:lineRule="auto"/>
        <w:ind w:left="540" w:right="-279" w:hanging="540"/>
        <w:rPr>
          <w:rFonts w:asciiTheme="minorHAnsi" w:hAnsiTheme="minorHAnsi" w:cstheme="minorHAnsi"/>
          <w:bCs/>
          <w:kern w:val="1"/>
          <w:sz w:val="24"/>
          <w:szCs w:val="24"/>
        </w:rPr>
      </w:pPr>
      <w:r>
        <w:rPr>
          <w:rFonts w:asciiTheme="minorHAnsi" w:hAnsiTheme="minorHAnsi" w:cstheme="minorHAnsi"/>
          <w:bCs/>
          <w:kern w:val="1"/>
          <w:sz w:val="24"/>
          <w:szCs w:val="24"/>
        </w:rPr>
        <w:t>e.</w:t>
      </w:r>
      <w:r>
        <w:rPr>
          <w:rFonts w:asciiTheme="minorHAnsi" w:hAnsiTheme="minorHAnsi" w:cstheme="minorHAnsi"/>
          <w:bCs/>
          <w:kern w:val="1"/>
          <w:sz w:val="24"/>
          <w:szCs w:val="24"/>
        </w:rPr>
        <w:tab/>
      </w:r>
      <w:r>
        <w:rPr>
          <w:rFonts w:asciiTheme="minorHAnsi" w:hAnsiTheme="minorHAnsi" w:cstheme="minorHAnsi"/>
          <w:bCs/>
          <w:kern w:val="1"/>
          <w:sz w:val="24"/>
          <w:szCs w:val="24"/>
        </w:rPr>
        <w:t>No uso de dispositivos móviles mientras se conduce</w:t>
      </w:r>
    </w:p>
    <w:p w14:paraId="1C3FF7F9">
      <w:pPr>
        <w:tabs>
          <w:tab w:val="left" w:pos="1134"/>
        </w:tabs>
        <w:suppressAutoHyphens/>
        <w:spacing w:line="276" w:lineRule="auto"/>
        <w:ind w:right="-279"/>
        <w:rPr>
          <w:rFonts w:eastAsia="Calibri" w:asciiTheme="minorHAnsi" w:hAnsiTheme="minorHAnsi" w:cstheme="minorHAnsi"/>
          <w:kern w:val="1"/>
          <w:sz w:val="24"/>
          <w:szCs w:val="24"/>
          <w:lang w:val="es-VE" w:eastAsia="en-US"/>
        </w:rPr>
      </w:pPr>
    </w:p>
    <w:p w14:paraId="5D18D569">
      <w:pPr>
        <w:pStyle w:val="5"/>
        <w:numPr>
          <w:ilvl w:val="0"/>
          <w:numId w:val="0"/>
        </w:numPr>
        <w:tabs>
          <w:tab w:val="left" w:pos="993"/>
        </w:tabs>
        <w:spacing w:before="0"/>
        <w:ind w:left="864" w:hanging="864"/>
        <w:rPr>
          <w:rFonts w:eastAsia="Calibri" w:asciiTheme="minorHAnsi" w:hAnsiTheme="minorHAnsi" w:cstheme="minorHAnsi"/>
          <w:sz w:val="24"/>
          <w:szCs w:val="24"/>
        </w:rPr>
      </w:pPr>
      <w:r>
        <w:rPr>
          <w:rFonts w:eastAsia="Calibri" w:asciiTheme="minorHAnsi" w:hAnsiTheme="minorHAnsi" w:cstheme="minorHAnsi"/>
          <w:sz w:val="24"/>
          <w:szCs w:val="24"/>
        </w:rPr>
        <w:t>Divulgación de la Política de Seguridad Vial</w:t>
      </w:r>
    </w:p>
    <w:p w14:paraId="1CC001B3">
      <w:pPr>
        <w:spacing w:line="276" w:lineRule="auto"/>
        <w:rPr>
          <w:rFonts w:eastAsia="Calibri" w:asciiTheme="minorHAnsi" w:hAnsiTheme="minorHAnsi" w:cstheme="minorHAnsi"/>
          <w:sz w:val="24"/>
          <w:szCs w:val="24"/>
          <w:lang w:eastAsia="es-CO"/>
        </w:rPr>
      </w:pPr>
    </w:p>
    <w:p w14:paraId="0D0E00BB">
      <w:pPr>
        <w:spacing w:line="276" w:lineRule="auto"/>
        <w:rPr>
          <w:rFonts w:asciiTheme="minorHAnsi" w:hAnsiTheme="minorHAnsi" w:cstheme="minorHAnsi"/>
          <w:bCs/>
          <w:kern w:val="1"/>
          <w:sz w:val="24"/>
          <w:szCs w:val="24"/>
        </w:rPr>
      </w:pPr>
      <w:r>
        <w:rPr>
          <w:rFonts w:asciiTheme="minorHAnsi" w:hAnsiTheme="minorHAnsi" w:cstheme="minorHAnsi"/>
          <w:bCs/>
          <w:kern w:val="1"/>
          <w:sz w:val="24"/>
          <w:szCs w:val="24"/>
        </w:rPr>
        <w:t xml:space="preserve">La divulgación de la política vial y la socialización del plan </w:t>
      </w:r>
      <w:r>
        <w:rPr>
          <w:rFonts w:asciiTheme="minorHAnsi" w:hAnsiTheme="minorHAnsi" w:cstheme="minorHAnsi"/>
          <w:bCs/>
          <w:color w:val="00B050"/>
          <w:kern w:val="1"/>
          <w:sz w:val="24"/>
          <w:szCs w:val="24"/>
        </w:rPr>
        <w:t>estratégico</w:t>
      </w:r>
      <w:r>
        <w:rPr>
          <w:rFonts w:asciiTheme="minorHAnsi" w:hAnsiTheme="minorHAnsi" w:cstheme="minorHAnsi"/>
          <w:bCs/>
          <w:kern w:val="1"/>
          <w:sz w:val="24"/>
          <w:szCs w:val="24"/>
        </w:rPr>
        <w:t>, serán parte de las actividades contempladas en el plan de trabajo del PESV, estas actividades tendrán re inducciones anuales. Adicionalmente serán parte del contenido dictado en los procesos de inducción dirigidos a los diferentes actores viales.</w:t>
      </w:r>
    </w:p>
    <w:p w14:paraId="16FDEB00">
      <w:pPr>
        <w:spacing w:line="276" w:lineRule="auto"/>
        <w:rPr>
          <w:rFonts w:asciiTheme="minorHAnsi" w:hAnsiTheme="minorHAnsi" w:cstheme="minorHAnsi"/>
          <w:b/>
          <w:bCs/>
          <w:sz w:val="24"/>
          <w:szCs w:val="24"/>
        </w:rPr>
      </w:pPr>
    </w:p>
    <w:p w14:paraId="1E5135C6">
      <w:pPr>
        <w:spacing w:line="276" w:lineRule="auto"/>
        <w:rPr>
          <w:rFonts w:asciiTheme="minorHAnsi" w:hAnsiTheme="minorHAnsi" w:cstheme="minorHAnsi"/>
          <w:b/>
          <w:bCs/>
          <w:sz w:val="24"/>
          <w:szCs w:val="24"/>
        </w:rPr>
      </w:pPr>
    </w:p>
    <w:p w14:paraId="3A5F7431">
      <w:pPr>
        <w:pStyle w:val="3"/>
        <w:numPr>
          <w:ilvl w:val="1"/>
          <w:numId w:val="4"/>
        </w:numPr>
        <w:spacing w:after="0" w:line="276" w:lineRule="auto"/>
        <w:ind w:left="540" w:hanging="540"/>
        <w:rPr>
          <w:rFonts w:asciiTheme="minorHAnsi" w:hAnsiTheme="minorHAnsi" w:cstheme="minorHAnsi"/>
          <w:color w:val="auto"/>
          <w:sz w:val="24"/>
        </w:rPr>
      </w:pPr>
      <w:bookmarkStart w:id="50" w:name="_Toc188966781"/>
      <w:bookmarkStart w:id="51" w:name="_Toc519172496"/>
      <w:r>
        <w:rPr>
          <w:rFonts w:asciiTheme="minorHAnsi" w:hAnsiTheme="minorHAnsi" w:cstheme="minorHAnsi"/>
          <w:color w:val="auto"/>
          <w:sz w:val="24"/>
        </w:rPr>
        <w:t>DIRECTRICES DE LA ALTA DIRECCIÓN</w:t>
      </w:r>
      <w:bookmarkEnd w:id="50"/>
      <w:bookmarkEnd w:id="51"/>
    </w:p>
    <w:p w14:paraId="7AF95749">
      <w:pPr>
        <w:spacing w:line="276" w:lineRule="auto"/>
        <w:rPr>
          <w:rFonts w:asciiTheme="minorHAnsi" w:hAnsiTheme="minorHAnsi" w:cstheme="minorHAnsi"/>
          <w:sz w:val="24"/>
          <w:szCs w:val="24"/>
          <w:lang w:eastAsia="en-US"/>
        </w:rPr>
      </w:pPr>
    </w:p>
    <w:p w14:paraId="4A968368">
      <w:pPr>
        <w:autoSpaceDE w:val="0"/>
        <w:autoSpaceDN w:val="0"/>
        <w:adjustRightInd w:val="0"/>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 xml:space="preserve">El Plan Estratégico de Seguridad Vial PESV SENA, aplica principalmente a los vehículos de la entidad, a los funcionarios y/o trabajadores oficiales que desempeñan las funciones de conductor o que por algún motivo cuentan con </w:t>
      </w:r>
      <w:r>
        <w:rPr>
          <w:rFonts w:eastAsia="Calibri" w:asciiTheme="minorHAnsi" w:hAnsiTheme="minorHAnsi" w:cstheme="minorHAnsi"/>
          <w:sz w:val="24"/>
          <w:szCs w:val="24"/>
          <w:lang w:val="es-ES" w:eastAsia="en-US"/>
        </w:rPr>
        <w:t>resolución vigente que les permite operar vehículos del SENA y a los contratistas cuyo objeto contractual es el de conducir</w:t>
      </w:r>
      <w:r>
        <w:rPr>
          <w:rFonts w:eastAsia="Calibri" w:asciiTheme="minorHAnsi" w:hAnsiTheme="minorHAnsi" w:cstheme="minorHAnsi"/>
          <w:sz w:val="24"/>
          <w:szCs w:val="24"/>
          <w:lang w:eastAsia="en-US"/>
        </w:rPr>
        <w:t>, con este plan se pretende definir las actividades y establecer los lineamientos que se deben ejecutar en cada una de las regionales a nivel nacional, de conformidad con la normatividad legal vigente y que nos permita el fortalecimiento institucional en seguridad vial, las capacitaciones específicas en temas viales, la operación segura de vehículos, la vinculación de personal especializado, el mantenimiento preventivo y correctivo en la operación del parque automotor, maquinaria pesada y agrícola de la entidad. Permitirá, además, orientar las acciones, capacitaciones o sensibilizaciones para los actores viales (conductores, peatones, motociclistas, ciclistas, etc.), con el fin de que fomentar la cultura del autocuidado y cumplimiento de las normas viales, controlar y disminuir la accidentalidad producto de temas viales y/o el impacto legal y social en la comunidad SENA.</w:t>
      </w:r>
    </w:p>
    <w:p w14:paraId="0B3BF83D">
      <w:pPr>
        <w:autoSpaceDE w:val="0"/>
        <w:autoSpaceDN w:val="0"/>
        <w:adjustRightInd w:val="0"/>
        <w:spacing w:line="276" w:lineRule="auto"/>
        <w:rPr>
          <w:rFonts w:eastAsia="Calibri" w:asciiTheme="minorHAnsi" w:hAnsiTheme="minorHAnsi" w:cstheme="minorHAnsi"/>
          <w:sz w:val="24"/>
          <w:szCs w:val="24"/>
          <w:lang w:eastAsia="en-US"/>
        </w:rPr>
      </w:pPr>
    </w:p>
    <w:p w14:paraId="63566DC6">
      <w:pPr>
        <w:spacing w:line="276" w:lineRule="auto"/>
        <w:rPr>
          <w:rFonts w:asciiTheme="minorHAnsi" w:hAnsiTheme="minorHAnsi" w:cstheme="minorHAnsi"/>
          <w:sz w:val="24"/>
          <w:szCs w:val="24"/>
        </w:rPr>
      </w:pPr>
      <w:r>
        <w:rPr>
          <w:rFonts w:asciiTheme="minorHAnsi" w:hAnsiTheme="minorHAnsi" w:cstheme="minorHAnsi"/>
          <w:sz w:val="24"/>
          <w:szCs w:val="24"/>
        </w:rPr>
        <w:t>Como parte de los compromisos de la entidad a través de la alta Dirección, e</w:t>
      </w:r>
      <w:r>
        <w:rPr>
          <w:rFonts w:asciiTheme="minorHAnsi" w:hAnsiTheme="minorHAnsi" w:cstheme="minorHAnsi"/>
          <w:sz w:val="24"/>
          <w:szCs w:val="24"/>
          <w:highlight w:val="yellow"/>
        </w:rPr>
        <w:t>l Consejo Inter Administrativo</w:t>
      </w:r>
      <w:r>
        <w:rPr>
          <w:rFonts w:asciiTheme="minorHAnsi" w:hAnsiTheme="minorHAnsi" w:cstheme="minorHAnsi"/>
          <w:sz w:val="24"/>
          <w:szCs w:val="24"/>
        </w:rPr>
        <w:t xml:space="preserve"> del Servicio Nacional de Aprendizaje – SENA se compromete a:</w:t>
      </w:r>
    </w:p>
    <w:p w14:paraId="05BE28AA">
      <w:pPr>
        <w:spacing w:line="276" w:lineRule="auto"/>
        <w:rPr>
          <w:rFonts w:asciiTheme="minorHAnsi" w:hAnsiTheme="minorHAnsi" w:cstheme="minorHAnsi"/>
          <w:sz w:val="24"/>
          <w:szCs w:val="24"/>
        </w:rPr>
      </w:pPr>
    </w:p>
    <w:p w14:paraId="51FEFD4D">
      <w:pPr>
        <w:numPr>
          <w:ilvl w:val="0"/>
          <w:numId w:val="15"/>
        </w:numPr>
        <w:pBdr>
          <w:top w:val="none" w:color="auto" w:sz="0" w:space="0"/>
          <w:left w:val="none" w:color="auto" w:sz="0" w:space="0"/>
          <w:bottom w:val="none" w:color="auto" w:sz="0" w:space="0"/>
          <w:right w:val="none" w:color="auto" w:sz="0" w:space="0"/>
          <w:between w:val="none" w:color="auto" w:sz="0" w:space="0"/>
        </w:pBdr>
        <w:spacing w:line="276" w:lineRule="auto"/>
        <w:ind w:left="284"/>
        <w:rPr>
          <w:rFonts w:eastAsia="Calibri" w:asciiTheme="minorHAnsi" w:hAnsiTheme="minorHAnsi" w:cstheme="minorHAnsi"/>
          <w:color w:val="00B050"/>
          <w:sz w:val="24"/>
          <w:szCs w:val="24"/>
          <w:lang w:eastAsia="en-US"/>
        </w:rPr>
      </w:pPr>
      <w:r>
        <w:rPr>
          <w:rFonts w:eastAsia="Calibri" w:asciiTheme="minorHAnsi" w:hAnsiTheme="minorHAnsi" w:cstheme="minorHAnsi"/>
          <w:color w:val="00B050"/>
          <w:sz w:val="24"/>
          <w:szCs w:val="24"/>
          <w:lang w:eastAsia="en-US"/>
        </w:rPr>
        <w:t xml:space="preserve">Definir la política y los objetivos del PESV de la forma que sean compatibles con la dirección estratégica de la organización, buscando prevenir siniestros viales, reducir las muertes y disminuir el riesgo de lesiones o daños derivados de los siniestros viales. </w:t>
      </w:r>
    </w:p>
    <w:p w14:paraId="6C1673F8">
      <w:pPr>
        <w:pStyle w:val="51"/>
        <w:numPr>
          <w:ilvl w:val="0"/>
          <w:numId w:val="15"/>
        </w:numPr>
        <w:spacing w:after="0" w:line="276" w:lineRule="auto"/>
        <w:ind w:left="284" w:hanging="284"/>
        <w:rPr>
          <w:rFonts w:asciiTheme="minorHAnsi" w:hAnsiTheme="minorHAnsi" w:cstheme="minorHAnsi"/>
          <w:color w:val="00B050"/>
          <w:sz w:val="24"/>
          <w:szCs w:val="24"/>
        </w:rPr>
      </w:pPr>
      <w:r>
        <w:rPr>
          <w:rFonts w:asciiTheme="minorHAnsi" w:hAnsiTheme="minorHAnsi" w:cstheme="minorHAnsi"/>
          <w:color w:val="00B050"/>
          <w:sz w:val="24"/>
          <w:szCs w:val="24"/>
        </w:rPr>
        <w:t xml:space="preserve">Promover en la organización la formación y aplicación de hábitos, comportamientos y conductas seguras en la vía. </w:t>
      </w:r>
    </w:p>
    <w:p w14:paraId="577B611E">
      <w:pPr>
        <w:pStyle w:val="51"/>
        <w:numPr>
          <w:ilvl w:val="0"/>
          <w:numId w:val="15"/>
        </w:numPr>
        <w:spacing w:after="0" w:line="276" w:lineRule="auto"/>
        <w:ind w:left="284" w:hanging="284"/>
        <w:rPr>
          <w:rFonts w:asciiTheme="minorHAnsi" w:hAnsiTheme="minorHAnsi" w:cstheme="minorHAnsi"/>
          <w:sz w:val="24"/>
          <w:szCs w:val="24"/>
        </w:rPr>
      </w:pPr>
      <w:r>
        <w:rPr>
          <w:rFonts w:asciiTheme="minorHAnsi" w:hAnsiTheme="minorHAnsi" w:cstheme="minorHAnsi"/>
          <w:sz w:val="24"/>
          <w:szCs w:val="24"/>
        </w:rPr>
        <w:t>Establecer un proceso ágil, dinámico y eficaz de participación de los funcionarios, trabajadores oficiales y de los contratistas, si fuera el caso.</w:t>
      </w:r>
    </w:p>
    <w:p w14:paraId="7547A9C9">
      <w:pPr>
        <w:numPr>
          <w:ilvl w:val="0"/>
          <w:numId w:val="15"/>
        </w:numPr>
        <w:pBdr>
          <w:top w:val="none" w:color="auto" w:sz="0" w:space="0"/>
          <w:left w:val="none" w:color="auto" w:sz="0" w:space="0"/>
          <w:bottom w:val="none" w:color="auto" w:sz="0" w:space="0"/>
          <w:right w:val="none" w:color="auto" w:sz="0" w:space="0"/>
          <w:between w:val="none" w:color="auto" w:sz="0" w:space="0"/>
        </w:pBdr>
        <w:spacing w:line="276" w:lineRule="auto"/>
        <w:ind w:left="284"/>
        <w:rPr>
          <w:rFonts w:eastAsia="Calibri" w:asciiTheme="minorHAnsi" w:hAnsiTheme="minorHAnsi" w:cstheme="minorHAnsi"/>
          <w:color w:val="00B050"/>
          <w:sz w:val="24"/>
          <w:szCs w:val="24"/>
          <w:lang w:eastAsia="en-US"/>
        </w:rPr>
      </w:pPr>
      <w:r>
        <w:rPr>
          <w:rFonts w:eastAsia="Calibri" w:asciiTheme="minorHAnsi" w:hAnsiTheme="minorHAnsi" w:cstheme="minorHAnsi"/>
          <w:color w:val="00B050"/>
          <w:sz w:val="24"/>
          <w:szCs w:val="24"/>
          <w:lang w:eastAsia="en-US"/>
        </w:rPr>
        <w:t xml:space="preserve">Suministrar los recursos financieros, técnicos y humanos requeridos para el diseño, implementación, verificación y mejora del PESV. </w:t>
      </w:r>
    </w:p>
    <w:p w14:paraId="59497A2E">
      <w:pPr>
        <w:numPr>
          <w:ilvl w:val="0"/>
          <w:numId w:val="15"/>
        </w:numPr>
        <w:pBdr>
          <w:top w:val="none" w:color="auto" w:sz="0" w:space="0"/>
          <w:left w:val="none" w:color="auto" w:sz="0" w:space="0"/>
          <w:bottom w:val="none" w:color="auto" w:sz="0" w:space="0"/>
          <w:right w:val="none" w:color="auto" w:sz="0" w:space="0"/>
          <w:between w:val="none" w:color="auto" w:sz="0" w:space="0"/>
        </w:pBdr>
        <w:spacing w:line="276" w:lineRule="auto"/>
        <w:ind w:left="284"/>
        <w:rPr>
          <w:rFonts w:eastAsia="Calibri" w:asciiTheme="minorHAnsi" w:hAnsiTheme="minorHAnsi" w:cstheme="minorHAnsi"/>
          <w:color w:val="00B050"/>
          <w:sz w:val="24"/>
          <w:szCs w:val="24"/>
          <w:lang w:eastAsia="en-US"/>
        </w:rPr>
      </w:pPr>
      <w:r>
        <w:rPr>
          <w:rFonts w:eastAsia="Calibri" w:asciiTheme="minorHAnsi" w:hAnsiTheme="minorHAnsi" w:cstheme="minorHAnsi"/>
          <w:color w:val="00B050"/>
          <w:sz w:val="24"/>
          <w:szCs w:val="24"/>
          <w:lang w:eastAsia="en-US"/>
        </w:rPr>
        <w:t xml:space="preserve">Garantizar que, durante la adquisición o contratación de vehículos, equipos, repuestos o servicios, se cumplan las especificaciones de seguridad, de acuerdo con la normatividad vigente en la materia. </w:t>
      </w:r>
    </w:p>
    <w:p w14:paraId="72E121C8">
      <w:pPr>
        <w:numPr>
          <w:ilvl w:val="0"/>
          <w:numId w:val="15"/>
        </w:numPr>
        <w:pBdr>
          <w:top w:val="none" w:color="auto" w:sz="0" w:space="0"/>
          <w:left w:val="none" w:color="auto" w:sz="0" w:space="0"/>
          <w:bottom w:val="none" w:color="auto" w:sz="0" w:space="0"/>
          <w:right w:val="none" w:color="auto" w:sz="0" w:space="0"/>
          <w:between w:val="none" w:color="auto" w:sz="0" w:space="0"/>
        </w:pBdr>
        <w:spacing w:line="276" w:lineRule="auto"/>
        <w:ind w:left="284"/>
        <w:rPr>
          <w:rFonts w:eastAsia="Calibri" w:asciiTheme="minorHAnsi" w:hAnsiTheme="minorHAnsi" w:cstheme="minorHAnsi"/>
          <w:color w:val="00B050"/>
          <w:sz w:val="24"/>
          <w:szCs w:val="24"/>
          <w:lang w:eastAsia="en-US"/>
        </w:rPr>
      </w:pPr>
      <w:r>
        <w:rPr>
          <w:rFonts w:eastAsia="Calibri" w:asciiTheme="minorHAnsi" w:hAnsiTheme="minorHAnsi" w:cstheme="minorHAnsi"/>
          <w:color w:val="00B050"/>
          <w:sz w:val="24"/>
          <w:szCs w:val="24"/>
          <w:lang w:eastAsia="en-US"/>
        </w:rPr>
        <w:t>Garantizar que se realice el seguimiento para que los contratistas,</w:t>
      </w:r>
      <w:r>
        <w:rPr>
          <w:rFonts w:asciiTheme="minorHAnsi" w:hAnsiTheme="minorHAnsi" w:cstheme="minorHAnsi"/>
          <w:sz w:val="24"/>
          <w:szCs w:val="24"/>
        </w:rPr>
        <w:t xml:space="preserve"> funcionarios, trabajadores oficiales y de los contratistas</w:t>
      </w:r>
      <w:r>
        <w:rPr>
          <w:rFonts w:hint="default" w:asciiTheme="minorHAnsi" w:hAnsiTheme="minorHAnsi" w:cstheme="minorHAnsi"/>
          <w:sz w:val="24"/>
          <w:szCs w:val="24"/>
          <w:lang w:val="es-ES"/>
        </w:rPr>
        <w:t xml:space="preserve"> y</w:t>
      </w:r>
      <w:r>
        <w:rPr>
          <w:rFonts w:eastAsia="Calibri" w:asciiTheme="minorHAnsi" w:hAnsiTheme="minorHAnsi" w:cstheme="minorHAnsi"/>
          <w:color w:val="00B050"/>
          <w:sz w:val="24"/>
          <w:szCs w:val="24"/>
          <w:lang w:eastAsia="en-US"/>
        </w:rPr>
        <w:t xml:space="preserve">, terceros de la organización cumplan los requisitos de seguridad vial que establezca la organización. </w:t>
      </w:r>
    </w:p>
    <w:p w14:paraId="41D9E526">
      <w:pPr>
        <w:numPr>
          <w:ilvl w:val="0"/>
          <w:numId w:val="15"/>
        </w:numPr>
        <w:pBdr>
          <w:top w:val="none" w:color="auto" w:sz="0" w:space="0"/>
          <w:left w:val="none" w:color="auto" w:sz="0" w:space="0"/>
          <w:bottom w:val="none" w:color="auto" w:sz="0" w:space="0"/>
          <w:right w:val="none" w:color="auto" w:sz="0" w:space="0"/>
          <w:between w:val="none" w:color="auto" w:sz="0" w:space="0"/>
        </w:pBdr>
        <w:spacing w:line="276" w:lineRule="auto"/>
        <w:ind w:left="284"/>
        <w:rPr>
          <w:rFonts w:eastAsia="Calibri" w:asciiTheme="minorHAnsi" w:hAnsiTheme="minorHAnsi" w:cstheme="minorHAnsi"/>
          <w:color w:val="00B050"/>
          <w:sz w:val="24"/>
          <w:szCs w:val="24"/>
          <w:lang w:eastAsia="en-US"/>
        </w:rPr>
      </w:pPr>
      <w:r>
        <w:rPr>
          <w:rFonts w:eastAsia="Calibri" w:asciiTheme="minorHAnsi" w:hAnsiTheme="minorHAnsi" w:cstheme="minorHAnsi"/>
          <w:color w:val="00B050"/>
          <w:sz w:val="24"/>
          <w:szCs w:val="24"/>
          <w:lang w:eastAsia="en-US"/>
        </w:rPr>
        <w:t xml:space="preserve">Cumplir las acciones y estrategias definidas en el plan de trabajo anual del PESV. </w:t>
      </w:r>
    </w:p>
    <w:p w14:paraId="5F38C76F">
      <w:pPr>
        <w:numPr>
          <w:ilvl w:val="0"/>
          <w:numId w:val="15"/>
        </w:numPr>
        <w:pBdr>
          <w:top w:val="none" w:color="auto" w:sz="0" w:space="0"/>
          <w:left w:val="none" w:color="auto" w:sz="0" w:space="0"/>
          <w:bottom w:val="none" w:color="auto" w:sz="0" w:space="0"/>
          <w:right w:val="none" w:color="auto" w:sz="0" w:space="0"/>
          <w:between w:val="none" w:color="auto" w:sz="0" w:space="0"/>
        </w:pBdr>
        <w:spacing w:line="276" w:lineRule="auto"/>
        <w:ind w:left="284"/>
        <w:rPr>
          <w:rFonts w:eastAsia="Calibri" w:asciiTheme="minorHAnsi" w:hAnsiTheme="minorHAnsi" w:cstheme="minorHAnsi"/>
          <w:color w:val="00B050"/>
          <w:sz w:val="24"/>
          <w:szCs w:val="24"/>
          <w:lang w:eastAsia="en-US"/>
        </w:rPr>
      </w:pPr>
      <w:r>
        <w:rPr>
          <w:rFonts w:eastAsia="Calibri" w:asciiTheme="minorHAnsi" w:hAnsiTheme="minorHAnsi" w:cstheme="minorHAnsi"/>
          <w:color w:val="00B050"/>
          <w:sz w:val="24"/>
          <w:szCs w:val="24"/>
          <w:lang w:eastAsia="en-US"/>
        </w:rPr>
        <w:t xml:space="preserve">Atender oportunamente la solicitud de información por parte de las entidades verificadoras, la participación en la reunión de apertura y reunión de cierre y la gestión de los hallazgos resultantes de las visitas de verificación que realicen el Ministerio de Trabajo o entidad verificadora del Plan Estratégico de Seguridad Vial de conformidad con lo establecido en el artículo 1 de la Ley 2050 de 2020 y las disposiciones que lo reglamenten. </w:t>
      </w:r>
    </w:p>
    <w:p w14:paraId="2047C4FE">
      <w:pPr>
        <w:numPr>
          <w:ilvl w:val="0"/>
          <w:numId w:val="15"/>
        </w:numPr>
        <w:pBdr>
          <w:top w:val="none" w:color="auto" w:sz="0" w:space="0"/>
          <w:left w:val="none" w:color="auto" w:sz="0" w:space="0"/>
          <w:bottom w:val="none" w:color="auto" w:sz="0" w:space="0"/>
          <w:right w:val="none" w:color="auto" w:sz="0" w:space="0"/>
          <w:between w:val="none" w:color="auto" w:sz="0" w:space="0"/>
        </w:pBdr>
        <w:spacing w:line="276" w:lineRule="auto"/>
        <w:ind w:left="284"/>
        <w:rPr>
          <w:rFonts w:eastAsia="Calibri" w:asciiTheme="minorHAnsi" w:hAnsiTheme="minorHAnsi" w:cstheme="minorHAnsi"/>
          <w:color w:val="00B050"/>
          <w:sz w:val="24"/>
          <w:szCs w:val="24"/>
          <w:lang w:eastAsia="en-US"/>
        </w:rPr>
      </w:pPr>
      <w:r>
        <w:rPr>
          <w:rFonts w:eastAsia="Calibri" w:asciiTheme="minorHAnsi" w:hAnsiTheme="minorHAnsi" w:cstheme="minorHAnsi"/>
          <w:color w:val="00B050"/>
          <w:sz w:val="24"/>
          <w:szCs w:val="24"/>
          <w:lang w:eastAsia="en-US"/>
        </w:rPr>
        <w:t>Participar en una (1) reunión del comité de seguridad vial por lo menos una (1) vez al año para revisar los resultados de la planificación, implementación, seguimiento y mejora del PESV.</w:t>
      </w:r>
    </w:p>
    <w:p w14:paraId="5DBDAE0E">
      <w:pPr>
        <w:pBdr>
          <w:top w:val="none" w:color="auto" w:sz="0" w:space="0"/>
          <w:left w:val="none" w:color="auto" w:sz="0" w:space="0"/>
          <w:bottom w:val="none" w:color="auto" w:sz="0" w:space="0"/>
          <w:right w:val="none" w:color="auto" w:sz="0" w:space="0"/>
          <w:between w:val="none" w:color="auto" w:sz="0" w:space="0"/>
        </w:pBdr>
        <w:spacing w:line="276" w:lineRule="auto"/>
        <w:ind w:left="-76"/>
        <w:rPr>
          <w:rFonts w:eastAsia="Calibri" w:asciiTheme="minorHAnsi" w:hAnsiTheme="minorHAnsi" w:cstheme="minorHAnsi"/>
          <w:color w:val="00B050"/>
          <w:sz w:val="24"/>
          <w:szCs w:val="24"/>
          <w:lang w:eastAsia="en-US"/>
        </w:rPr>
      </w:pPr>
    </w:p>
    <w:p w14:paraId="5A4ABA86">
      <w:pPr>
        <w:pStyle w:val="4"/>
        <w:numPr>
          <w:ilvl w:val="2"/>
          <w:numId w:val="16"/>
        </w:numPr>
        <w:spacing w:before="0"/>
        <w:rPr>
          <w:rFonts w:asciiTheme="minorHAnsi" w:hAnsiTheme="minorHAnsi" w:cstheme="minorHAnsi"/>
          <w:sz w:val="24"/>
          <w:szCs w:val="24"/>
        </w:rPr>
      </w:pPr>
      <w:bookmarkStart w:id="52" w:name="_Toc519172525"/>
      <w:bookmarkStart w:id="53" w:name="_Toc188966782"/>
      <w:r>
        <w:rPr>
          <w:rFonts w:asciiTheme="minorHAnsi" w:hAnsiTheme="minorHAnsi" w:cstheme="minorHAnsi"/>
          <w:sz w:val="24"/>
          <w:szCs w:val="24"/>
        </w:rPr>
        <w:t xml:space="preserve">PRESUPUESTO PARA IMPLEMENTACIÓN </w:t>
      </w:r>
      <w:bookmarkEnd w:id="52"/>
      <w:r>
        <w:rPr>
          <w:rFonts w:asciiTheme="minorHAnsi" w:hAnsiTheme="minorHAnsi" w:cstheme="minorHAnsi"/>
          <w:sz w:val="24"/>
          <w:szCs w:val="24"/>
        </w:rPr>
        <w:t>DEL PESV</w:t>
      </w:r>
      <w:bookmarkEnd w:id="53"/>
    </w:p>
    <w:p w14:paraId="7FE297F8">
      <w:pPr>
        <w:suppressAutoHyphens/>
        <w:spacing w:line="276" w:lineRule="auto"/>
        <w:rPr>
          <w:rFonts w:eastAsia="Calibri" w:asciiTheme="minorHAnsi" w:hAnsiTheme="minorHAnsi" w:cstheme="minorHAnsi"/>
          <w:kern w:val="2"/>
          <w:sz w:val="24"/>
          <w:szCs w:val="24"/>
          <w:lang w:eastAsia="en-US"/>
        </w:rPr>
      </w:pPr>
    </w:p>
    <w:p w14:paraId="32ECF783">
      <w:pPr>
        <w:suppressAutoHyphens/>
        <w:spacing w:line="276" w:lineRule="auto"/>
        <w:rPr>
          <w:rFonts w:eastAsia="Calibri" w:asciiTheme="minorHAnsi" w:hAnsiTheme="minorHAnsi" w:cstheme="minorHAnsi"/>
          <w:kern w:val="2"/>
          <w:sz w:val="24"/>
          <w:szCs w:val="24"/>
          <w:lang w:val="es-VE" w:eastAsia="en-US"/>
        </w:rPr>
      </w:pPr>
      <w:r>
        <w:rPr>
          <w:rFonts w:eastAsia="Calibri" w:asciiTheme="minorHAnsi" w:hAnsiTheme="minorHAnsi" w:cstheme="minorHAnsi"/>
          <w:kern w:val="2"/>
          <w:sz w:val="24"/>
          <w:szCs w:val="24"/>
          <w:highlight w:val="yellow"/>
          <w:lang w:val="es-VE" w:eastAsia="en-US"/>
        </w:rPr>
        <w:t>Desde el plan de trabajo establecido por el Grupo de Seguridad y Salud en el Trabajo se ha definido como parte de la planeación del PESV,</w:t>
      </w:r>
      <w:r>
        <w:rPr>
          <w:rFonts w:eastAsia="Calibri" w:asciiTheme="minorHAnsi" w:hAnsiTheme="minorHAnsi" w:cstheme="minorHAnsi"/>
          <w:kern w:val="2"/>
          <w:sz w:val="24"/>
          <w:szCs w:val="24"/>
          <w:lang w:val="es-VE" w:eastAsia="en-US"/>
        </w:rPr>
        <w:t xml:space="preserve"> </w:t>
      </w:r>
      <w:r>
        <w:rPr>
          <w:rFonts w:eastAsia="Calibri" w:asciiTheme="minorHAnsi" w:hAnsiTheme="minorHAnsi" w:cstheme="minorHAnsi"/>
          <w:kern w:val="2"/>
          <w:sz w:val="24"/>
          <w:szCs w:val="24"/>
          <w:highlight w:val="yellow"/>
          <w:lang w:val="es-VE" w:eastAsia="en-US"/>
        </w:rPr>
        <w:t>un presupuesto</w:t>
      </w:r>
      <w:r>
        <w:rPr>
          <w:rFonts w:eastAsia="Calibri" w:asciiTheme="minorHAnsi" w:hAnsiTheme="minorHAnsi" w:cstheme="minorHAnsi"/>
          <w:kern w:val="2"/>
          <w:sz w:val="24"/>
          <w:szCs w:val="24"/>
          <w:lang w:val="es-VE" w:eastAsia="en-US"/>
        </w:rPr>
        <w:t xml:space="preserve"> que dará el acompañamiento a los recursos necesarios para la implementación de las actividades definidas en el cronograma del Plan</w:t>
      </w:r>
      <w:r>
        <w:rPr>
          <w:rFonts w:eastAsia="Calibri" w:asciiTheme="minorHAnsi" w:hAnsiTheme="minorHAnsi" w:cstheme="minorHAnsi"/>
          <w:color w:val="00B050"/>
          <w:kern w:val="2"/>
          <w:sz w:val="24"/>
          <w:szCs w:val="24"/>
          <w:lang w:val="es-VE" w:eastAsia="en-US"/>
        </w:rPr>
        <w:t xml:space="preserve"> estratégico</w:t>
      </w:r>
      <w:r>
        <w:rPr>
          <w:rFonts w:eastAsia="Calibri" w:asciiTheme="minorHAnsi" w:hAnsiTheme="minorHAnsi" w:cstheme="minorHAnsi"/>
          <w:kern w:val="2"/>
          <w:sz w:val="24"/>
          <w:szCs w:val="24"/>
          <w:lang w:val="es-VE" w:eastAsia="en-US"/>
        </w:rPr>
        <w:t xml:space="preserve"> de seguridad vial. El cual será liderado y monitoreado por el</w:t>
      </w:r>
      <w:r>
        <w:rPr>
          <w:rFonts w:eastAsia="Calibri" w:asciiTheme="minorHAnsi" w:hAnsiTheme="minorHAnsi" w:cstheme="minorHAnsi"/>
          <w:color w:val="00B050"/>
          <w:kern w:val="2"/>
          <w:sz w:val="24"/>
          <w:szCs w:val="24"/>
          <w:lang w:val="es-VE" w:eastAsia="en-US"/>
        </w:rPr>
        <w:t xml:space="preserve"> Líder</w:t>
      </w:r>
      <w:r>
        <w:rPr>
          <w:rFonts w:eastAsia="Calibri" w:asciiTheme="minorHAnsi" w:hAnsiTheme="minorHAnsi" w:cstheme="minorHAnsi"/>
          <w:kern w:val="2"/>
          <w:sz w:val="24"/>
          <w:szCs w:val="24"/>
          <w:lang w:val="es-VE" w:eastAsia="en-US"/>
        </w:rPr>
        <w:t xml:space="preserve"> del PESV en lo referido a los recursos para capacitaciones y actividades específicas a nivel nacional y que están alineadas al plan de capacitaciones propuesto desde el Grupo de Seguridad y Salud en el Trabajo.</w:t>
      </w:r>
    </w:p>
    <w:p w14:paraId="47E01E27">
      <w:pPr>
        <w:suppressAutoHyphens/>
        <w:spacing w:line="276" w:lineRule="auto"/>
        <w:rPr>
          <w:rFonts w:eastAsia="Calibri" w:asciiTheme="minorHAnsi" w:hAnsiTheme="minorHAnsi" w:cstheme="minorHAnsi"/>
          <w:kern w:val="2"/>
          <w:sz w:val="24"/>
          <w:szCs w:val="24"/>
          <w:lang w:val="es-VE" w:eastAsia="en-US"/>
        </w:rPr>
      </w:pPr>
    </w:p>
    <w:p w14:paraId="7BF19588">
      <w:pPr>
        <w:suppressAutoHyphens/>
        <w:spacing w:line="276" w:lineRule="auto"/>
        <w:rPr>
          <w:rFonts w:eastAsia="Calibri" w:asciiTheme="minorHAnsi" w:hAnsiTheme="minorHAnsi" w:cstheme="minorHAnsi"/>
          <w:kern w:val="2"/>
          <w:sz w:val="24"/>
          <w:szCs w:val="24"/>
          <w:lang w:val="es-VE" w:eastAsia="en-US"/>
        </w:rPr>
      </w:pPr>
      <w:r>
        <w:rPr>
          <w:rFonts w:eastAsia="Calibri" w:asciiTheme="minorHAnsi" w:hAnsiTheme="minorHAnsi" w:cstheme="minorHAnsi"/>
          <w:kern w:val="2"/>
          <w:sz w:val="24"/>
          <w:szCs w:val="24"/>
          <w:lang w:val="es-VE" w:eastAsia="en-US"/>
        </w:rPr>
        <w:t xml:space="preserve">Los recursos de mantenimientos, kits de carretera o elementos para cualquier tipo de vehículo a cargo de las regionales, deberán ser solicitados dentro de los proyectos presentados a la </w:t>
      </w:r>
      <w:r>
        <w:rPr>
          <w:rFonts w:hint="default" w:eastAsia="Calibri" w:asciiTheme="minorHAnsi" w:hAnsiTheme="minorHAnsi" w:cstheme="minorHAnsi"/>
          <w:kern w:val="2"/>
          <w:sz w:val="24"/>
          <w:szCs w:val="24"/>
          <w:lang w:val="es-ES" w:eastAsia="en-US"/>
        </w:rPr>
        <w:t>D</w:t>
      </w:r>
      <w:r>
        <w:rPr>
          <w:rFonts w:eastAsia="Calibri" w:asciiTheme="minorHAnsi" w:hAnsiTheme="minorHAnsi" w:cstheme="minorHAnsi"/>
          <w:kern w:val="2"/>
          <w:sz w:val="24"/>
          <w:szCs w:val="24"/>
          <w:lang w:val="es-VE" w:eastAsia="en-US"/>
        </w:rPr>
        <w:t>irección</w:t>
      </w:r>
      <w:r>
        <w:rPr>
          <w:rFonts w:hint="default" w:eastAsia="Calibri" w:asciiTheme="minorHAnsi" w:hAnsiTheme="minorHAnsi" w:cstheme="minorHAnsi"/>
          <w:kern w:val="2"/>
          <w:sz w:val="24"/>
          <w:szCs w:val="24"/>
          <w:lang w:val="es-ES" w:eastAsia="en-US"/>
        </w:rPr>
        <w:t xml:space="preserve"> </w:t>
      </w:r>
      <w:r>
        <w:rPr>
          <w:rFonts w:eastAsia="Calibri" w:asciiTheme="minorHAnsi" w:hAnsiTheme="minorHAnsi" w:cstheme="minorHAnsi"/>
          <w:kern w:val="2"/>
          <w:sz w:val="24"/>
          <w:szCs w:val="24"/>
          <w:lang w:val="es-VE" w:eastAsia="en-US"/>
        </w:rPr>
        <w:t>administrativa financiera en cada vigencia, que permitan dar cumplimiento a los lineamientos establecidos desde le Dirección administrativa  financiera, específicamente desde la coordinación del grupo de servicios generales y adquisiciones, encargado a nivel nacional de emitir lineamientos generales en cuanto a mantenimientos, seguros, operatividad, etc.</w:t>
      </w:r>
    </w:p>
    <w:p w14:paraId="7E027AAA">
      <w:pPr>
        <w:suppressAutoHyphens/>
        <w:spacing w:line="276" w:lineRule="auto"/>
        <w:rPr>
          <w:rFonts w:eastAsia="Calibri" w:asciiTheme="minorHAnsi" w:hAnsiTheme="minorHAnsi" w:cstheme="minorHAnsi"/>
          <w:kern w:val="2"/>
          <w:sz w:val="24"/>
          <w:szCs w:val="24"/>
          <w:lang w:val="es-VE" w:eastAsia="en-US"/>
        </w:rPr>
      </w:pPr>
      <w:bookmarkStart w:id="242" w:name="_GoBack"/>
      <w:bookmarkEnd w:id="242"/>
    </w:p>
    <w:p w14:paraId="78BD1071">
      <w:pPr>
        <w:pStyle w:val="3"/>
        <w:numPr>
          <w:ilvl w:val="1"/>
          <w:numId w:val="4"/>
        </w:numPr>
        <w:spacing w:after="0" w:line="276" w:lineRule="auto"/>
        <w:ind w:left="540" w:hanging="540"/>
        <w:rPr>
          <w:rFonts w:asciiTheme="minorHAnsi" w:hAnsiTheme="minorHAnsi" w:cstheme="minorHAnsi"/>
          <w:color w:val="auto"/>
          <w:sz w:val="24"/>
        </w:rPr>
      </w:pPr>
      <w:bookmarkStart w:id="54" w:name="_Toc188966783"/>
      <w:r>
        <w:rPr>
          <w:rFonts w:asciiTheme="minorHAnsi" w:hAnsiTheme="minorHAnsi" w:cstheme="minorHAnsi"/>
          <w:color w:val="auto"/>
          <w:sz w:val="24"/>
        </w:rPr>
        <w:t>DIAGNOSTICO</w:t>
      </w:r>
      <w:bookmarkEnd w:id="54"/>
    </w:p>
    <w:p w14:paraId="27DAB6C9">
      <w:pPr>
        <w:rPr>
          <w:b/>
          <w:bCs/>
        </w:rPr>
      </w:pPr>
      <w:bookmarkStart w:id="55" w:name="_Toc519172510"/>
    </w:p>
    <w:p w14:paraId="00D68DE7">
      <w:pPr>
        <w:rPr>
          <w:b/>
          <w:bCs/>
        </w:rPr>
      </w:pPr>
      <w:r>
        <w:rPr>
          <w:b/>
          <w:bCs/>
        </w:rPr>
        <w:t>CARACTERÍSTICAS DE LA INSTITUCIÓN</w:t>
      </w:r>
      <w:bookmarkEnd w:id="55"/>
    </w:p>
    <w:p w14:paraId="420E76FD">
      <w:pPr>
        <w:tabs>
          <w:tab w:val="left" w:pos="1800"/>
        </w:tabs>
        <w:spacing w:line="276" w:lineRule="auto"/>
        <w:rPr>
          <w:rFonts w:asciiTheme="minorHAnsi" w:hAnsiTheme="minorHAnsi" w:cstheme="minorHAnsi"/>
          <w:b/>
          <w:sz w:val="24"/>
          <w:szCs w:val="24"/>
        </w:rPr>
      </w:pPr>
    </w:p>
    <w:p w14:paraId="3FF797DC">
      <w:pPr>
        <w:tabs>
          <w:tab w:val="left" w:pos="1800"/>
        </w:tabs>
        <w:spacing w:line="276" w:lineRule="auto"/>
        <w:rPr>
          <w:rFonts w:asciiTheme="minorHAnsi" w:hAnsiTheme="minorHAnsi" w:cstheme="minorHAnsi"/>
          <w:color w:val="000000"/>
          <w:sz w:val="24"/>
          <w:szCs w:val="24"/>
        </w:rPr>
      </w:pPr>
      <w:r>
        <w:rPr>
          <w:rFonts w:asciiTheme="minorHAnsi" w:hAnsiTheme="minorHAnsi" w:cstheme="minorHAnsi"/>
          <w:color w:val="000000"/>
          <w:sz w:val="24"/>
          <w:szCs w:val="24"/>
        </w:rPr>
        <w:t>El Servicio Nacional de Aprendizaje - SENA, es un establecimiento público de orden nacional, con personería jurídica, patrimonio propio e independiente, y autonomía administrativa; adscrito al Ministerio del Trabajo de Colombia. Ofrece formación gratuita a millones de colombianos que se benefician con programas técnicos, tecnológicos y complementarios que, enfocados en el desarrollo económico, tecnológico y social del país, entran a engrosar las actividades productivas de las empresas y de la industria, para obtener mejor competitividad y producción con los mercados globalizados. </w:t>
      </w:r>
    </w:p>
    <w:p w14:paraId="1889B0F6">
      <w:pPr>
        <w:tabs>
          <w:tab w:val="left" w:pos="1800"/>
        </w:tabs>
        <w:spacing w:line="276" w:lineRule="auto"/>
        <w:rPr>
          <w:rFonts w:asciiTheme="minorHAnsi" w:hAnsiTheme="minorHAnsi" w:cstheme="minorHAnsi"/>
          <w:color w:val="000000"/>
          <w:sz w:val="24"/>
          <w:szCs w:val="24"/>
        </w:rPr>
      </w:pPr>
    </w:p>
    <w:p w14:paraId="75567F44">
      <w:pPr>
        <w:pStyle w:val="21"/>
        <w:spacing w:after="0"/>
        <w:jc w:val="center"/>
        <w:rPr>
          <w:rFonts w:asciiTheme="minorHAnsi" w:hAnsiTheme="minorHAnsi" w:cstheme="minorHAnsi"/>
          <w:color w:val="auto"/>
          <w:sz w:val="24"/>
          <w:szCs w:val="24"/>
        </w:rPr>
      </w:pPr>
      <w:r>
        <w:rPr>
          <w:rFonts w:asciiTheme="minorHAnsi" w:hAnsiTheme="minorHAnsi" w:cstheme="minorHAnsi"/>
          <w:color w:val="auto"/>
          <w:sz w:val="24"/>
          <w:szCs w:val="24"/>
        </w:rPr>
        <w:t xml:space="preserve">A continuación, se describe sus principales procesos: </w:t>
      </w:r>
    </w:p>
    <w:p w14:paraId="125D52DC">
      <w:pPr>
        <w:pStyle w:val="21"/>
        <w:spacing w:after="0"/>
        <w:jc w:val="center"/>
        <w:rPr>
          <w:rFonts w:asciiTheme="minorHAnsi" w:hAnsiTheme="minorHAnsi" w:cstheme="minorHAnsi"/>
          <w:color w:val="auto"/>
          <w:sz w:val="24"/>
          <w:szCs w:val="24"/>
        </w:rPr>
      </w:pPr>
      <w:bookmarkStart w:id="56" w:name="_Toc138145511"/>
      <w:r>
        <w:rPr>
          <w:rFonts w:asciiTheme="minorHAnsi" w:hAnsiTheme="minorHAnsi" w:cstheme="minorHAnsi"/>
          <w:color w:val="auto"/>
          <w:sz w:val="24"/>
          <w:szCs w:val="24"/>
        </w:rPr>
        <w:t xml:space="preserve">Figura No. </w:t>
      </w:r>
      <w:r>
        <w:rPr>
          <w:rFonts w:asciiTheme="minorHAnsi" w:hAnsiTheme="minorHAnsi" w:cstheme="minorHAnsi"/>
          <w:color w:val="auto"/>
          <w:sz w:val="24"/>
          <w:szCs w:val="24"/>
        </w:rPr>
        <w:fldChar w:fldCharType="begin"/>
      </w:r>
      <w:r>
        <w:rPr>
          <w:rFonts w:asciiTheme="minorHAnsi" w:hAnsiTheme="minorHAnsi" w:cstheme="minorHAnsi"/>
          <w:color w:val="auto"/>
          <w:sz w:val="24"/>
          <w:szCs w:val="24"/>
        </w:rPr>
        <w:instrText xml:space="preserve"> SEQ Figura_No. \* ARABIC </w:instrText>
      </w:r>
      <w:r>
        <w:rPr>
          <w:rFonts w:asciiTheme="minorHAnsi" w:hAnsiTheme="minorHAnsi" w:cstheme="minorHAnsi"/>
          <w:color w:val="auto"/>
          <w:sz w:val="24"/>
          <w:szCs w:val="24"/>
        </w:rPr>
        <w:fldChar w:fldCharType="separate"/>
      </w:r>
      <w:r>
        <w:rPr>
          <w:rFonts w:asciiTheme="minorHAnsi" w:hAnsiTheme="minorHAnsi" w:cstheme="minorHAnsi"/>
          <w:color w:val="auto"/>
          <w:sz w:val="24"/>
          <w:szCs w:val="24"/>
        </w:rPr>
        <w:t>1</w:t>
      </w:r>
      <w:r>
        <w:rPr>
          <w:rFonts w:asciiTheme="minorHAnsi" w:hAnsiTheme="minorHAnsi" w:cstheme="minorHAnsi"/>
          <w:color w:val="auto"/>
          <w:sz w:val="24"/>
          <w:szCs w:val="24"/>
        </w:rPr>
        <w:fldChar w:fldCharType="end"/>
      </w:r>
      <w:r>
        <w:rPr>
          <w:rFonts w:asciiTheme="minorHAnsi" w:hAnsiTheme="minorHAnsi" w:cstheme="minorHAnsi"/>
          <w:color w:val="auto"/>
          <w:sz w:val="24"/>
          <w:szCs w:val="24"/>
        </w:rPr>
        <w:t xml:space="preserve">. </w:t>
      </w:r>
      <w:r>
        <w:rPr>
          <w:rFonts w:asciiTheme="minorHAnsi" w:hAnsiTheme="minorHAnsi" w:cstheme="minorHAnsi"/>
          <w:b w:val="0"/>
          <w:color w:val="auto"/>
          <w:sz w:val="24"/>
          <w:szCs w:val="24"/>
        </w:rPr>
        <w:t>Red de procesos SIGA</w:t>
      </w:r>
      <w:bookmarkEnd w:id="56"/>
    </w:p>
    <w:p w14:paraId="21407ED7">
      <w:pPr>
        <w:spacing w:line="276" w:lineRule="auto"/>
        <w:rPr>
          <w:rFonts w:asciiTheme="minorHAnsi" w:hAnsiTheme="minorHAnsi" w:cstheme="minorHAnsi"/>
          <w:sz w:val="24"/>
          <w:szCs w:val="24"/>
        </w:rPr>
      </w:pPr>
    </w:p>
    <w:p w14:paraId="424ECB6F">
      <w:pPr>
        <w:pStyle w:val="49"/>
        <w:ind w:left="0"/>
        <w:jc w:val="center"/>
        <w:rPr>
          <w:rFonts w:asciiTheme="minorHAnsi" w:hAnsiTheme="minorHAnsi" w:cstheme="minorHAnsi"/>
          <w:b/>
          <w:sz w:val="24"/>
          <w:szCs w:val="24"/>
        </w:rPr>
      </w:pPr>
      <w:r>
        <w:rPr>
          <w:rFonts w:asciiTheme="minorHAnsi" w:hAnsiTheme="minorHAnsi" w:cstheme="minorHAnsi"/>
          <w:b/>
          <w:sz w:val="24"/>
          <w:szCs w:val="24"/>
        </w:rPr>
        <w:drawing>
          <wp:inline distT="0" distB="0" distL="0" distR="0">
            <wp:extent cx="4427855" cy="2809875"/>
            <wp:effectExtent l="0" t="0" r="4445" b="0"/>
            <wp:docPr id="1016380536" name="Imagen 1016380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380536" name="Imagen 1016380536"/>
                    <pic:cNvPicPr>
                      <a:picLocks noChangeAspect="1"/>
                    </pic:cNvPicPr>
                  </pic:nvPicPr>
                  <pic:blipFill>
                    <a:blip r:embed="rId10"/>
                    <a:stretch>
                      <a:fillRect/>
                    </a:stretch>
                  </pic:blipFill>
                  <pic:spPr>
                    <a:xfrm>
                      <a:off x="0" y="0"/>
                      <a:ext cx="4439198" cy="2817112"/>
                    </a:xfrm>
                    <a:prstGeom prst="rect">
                      <a:avLst/>
                    </a:prstGeom>
                  </pic:spPr>
                </pic:pic>
              </a:graphicData>
            </a:graphic>
          </wp:inline>
        </w:drawing>
      </w:r>
    </w:p>
    <w:p w14:paraId="63DF262E">
      <w:pPr>
        <w:pStyle w:val="21"/>
        <w:spacing w:after="0"/>
        <w:jc w:val="center"/>
        <w:rPr>
          <w:rFonts w:asciiTheme="minorHAnsi" w:hAnsiTheme="minorHAnsi" w:cstheme="minorHAnsi"/>
          <w:b w:val="0"/>
          <w:color w:val="auto"/>
          <w:sz w:val="24"/>
          <w:szCs w:val="24"/>
        </w:rPr>
      </w:pPr>
      <w:r>
        <w:rPr>
          <w:rFonts w:asciiTheme="minorHAnsi" w:hAnsiTheme="minorHAnsi" w:cstheme="minorHAnsi"/>
          <w:b w:val="0"/>
          <w:color w:val="auto"/>
          <w:sz w:val="24"/>
          <w:szCs w:val="24"/>
        </w:rPr>
        <w:t>Fuente: Plataforma CompromISO</w:t>
      </w:r>
    </w:p>
    <w:p w14:paraId="02C8B025">
      <w:pPr>
        <w:spacing w:line="276" w:lineRule="auto"/>
        <w:rPr>
          <w:rFonts w:asciiTheme="minorHAnsi" w:hAnsiTheme="minorHAnsi" w:cstheme="minorHAnsi"/>
          <w:sz w:val="24"/>
          <w:szCs w:val="24"/>
          <w:lang w:eastAsia="en-US"/>
        </w:rPr>
      </w:pPr>
    </w:p>
    <w:p w14:paraId="4FE87AA6">
      <w:pPr>
        <w:tabs>
          <w:tab w:val="left" w:pos="142"/>
          <w:tab w:val="left" w:pos="284"/>
        </w:tabs>
        <w:suppressAutoHyphens/>
        <w:spacing w:line="276" w:lineRule="auto"/>
        <w:ind w:right="50"/>
        <w:rPr>
          <w:rFonts w:asciiTheme="minorHAnsi" w:hAnsiTheme="minorHAnsi" w:cstheme="minorHAnsi"/>
          <w:kern w:val="1"/>
          <w:sz w:val="24"/>
          <w:szCs w:val="24"/>
        </w:rPr>
      </w:pPr>
      <w:r>
        <w:rPr>
          <w:rFonts w:asciiTheme="minorHAnsi" w:hAnsiTheme="minorHAnsi" w:cstheme="minorHAnsi"/>
          <w:kern w:val="1"/>
          <w:sz w:val="24"/>
          <w:szCs w:val="24"/>
        </w:rPr>
        <w:t xml:space="preserve">En esta etapa el SENA, realizó una identificación del componente vial en cada uno de sus procesos y recopilación de data que permitió desarrollar un análisis sobre el contexto de su organización, sobre sus actividades, su personal, desplazamientos, infraestructura y todos aquellos aspectos que representan un riesgo en la conducción, la información se describe en informe de </w:t>
      </w:r>
      <w:r>
        <w:rPr>
          <w:rFonts w:asciiTheme="minorHAnsi" w:hAnsiTheme="minorHAnsi" w:cstheme="minorHAnsi"/>
          <w:b/>
          <w:bCs/>
          <w:kern w:val="1"/>
          <w:sz w:val="24"/>
          <w:szCs w:val="24"/>
        </w:rPr>
        <w:t xml:space="preserve">DIAGNOSTICO PASO 5 PESV, </w:t>
      </w:r>
      <w:r>
        <w:rPr>
          <w:rFonts w:asciiTheme="minorHAnsi" w:hAnsiTheme="minorHAnsi" w:cstheme="minorHAnsi"/>
          <w:kern w:val="1"/>
          <w:sz w:val="24"/>
          <w:szCs w:val="24"/>
        </w:rPr>
        <w:t xml:space="preserve">el cual incluye: </w:t>
      </w:r>
    </w:p>
    <w:p w14:paraId="0BA54FDC">
      <w:pPr>
        <w:tabs>
          <w:tab w:val="left" w:pos="142"/>
          <w:tab w:val="left" w:pos="284"/>
        </w:tabs>
        <w:suppressAutoHyphens/>
        <w:spacing w:line="276" w:lineRule="auto"/>
        <w:ind w:right="50"/>
        <w:rPr>
          <w:rFonts w:asciiTheme="minorHAnsi" w:hAnsiTheme="minorHAnsi" w:cstheme="minorHAnsi"/>
          <w:kern w:val="1"/>
          <w:sz w:val="24"/>
          <w:szCs w:val="24"/>
        </w:rPr>
      </w:pPr>
    </w:p>
    <w:p w14:paraId="6D7AD3B6">
      <w:pPr>
        <w:numPr>
          <w:ilvl w:val="0"/>
          <w:numId w:val="17"/>
        </w:numPr>
        <w:pBdr>
          <w:top w:val="none" w:color="auto" w:sz="0" w:space="0"/>
          <w:left w:val="none" w:color="auto" w:sz="0" w:space="0"/>
          <w:bottom w:val="none" w:color="auto" w:sz="0" w:space="0"/>
          <w:right w:val="none" w:color="auto" w:sz="0" w:space="0"/>
          <w:between w:val="none" w:color="auto" w:sz="0" w:space="0"/>
        </w:pBdr>
        <w:jc w:val="left"/>
        <w:rPr>
          <w:rFonts w:asciiTheme="minorHAnsi" w:hAnsiTheme="minorHAnsi" w:cstheme="minorHAnsi"/>
          <w:bCs/>
          <w:kern w:val="1"/>
          <w:sz w:val="24"/>
          <w:szCs w:val="24"/>
        </w:rPr>
      </w:pPr>
      <w:r>
        <w:rPr>
          <w:rFonts w:asciiTheme="minorHAnsi" w:hAnsiTheme="minorHAnsi" w:cstheme="minorHAnsi"/>
          <w:bCs/>
          <w:kern w:val="1"/>
          <w:sz w:val="24"/>
          <w:szCs w:val="24"/>
        </w:rPr>
        <w:t>Sedes y servicios que presta la organización</w:t>
      </w:r>
    </w:p>
    <w:p w14:paraId="1C18CD54">
      <w:pPr>
        <w:numPr>
          <w:ilvl w:val="0"/>
          <w:numId w:val="17"/>
        </w:numPr>
        <w:pBdr>
          <w:top w:val="none" w:color="auto" w:sz="0" w:space="0"/>
          <w:left w:val="none" w:color="auto" w:sz="0" w:space="0"/>
          <w:bottom w:val="none" w:color="auto" w:sz="0" w:space="0"/>
          <w:right w:val="none" w:color="auto" w:sz="0" w:space="0"/>
          <w:between w:val="none" w:color="auto" w:sz="0" w:space="0"/>
        </w:pBdr>
        <w:jc w:val="left"/>
        <w:rPr>
          <w:rFonts w:asciiTheme="minorHAnsi" w:hAnsiTheme="minorHAnsi" w:cstheme="minorHAnsi"/>
          <w:bCs/>
          <w:kern w:val="1"/>
          <w:sz w:val="24"/>
          <w:szCs w:val="24"/>
        </w:rPr>
      </w:pPr>
      <w:r>
        <w:rPr>
          <w:rFonts w:asciiTheme="minorHAnsi" w:hAnsiTheme="minorHAnsi" w:cstheme="minorHAnsi"/>
          <w:bCs/>
          <w:kern w:val="1"/>
          <w:sz w:val="24"/>
          <w:szCs w:val="24"/>
        </w:rPr>
        <w:t>Lista de contratistas</w:t>
      </w:r>
    </w:p>
    <w:p w14:paraId="7E89CBAE">
      <w:pPr>
        <w:numPr>
          <w:ilvl w:val="0"/>
          <w:numId w:val="17"/>
        </w:numPr>
        <w:pBdr>
          <w:top w:val="none" w:color="auto" w:sz="0" w:space="0"/>
          <w:left w:val="none" w:color="auto" w:sz="0" w:space="0"/>
          <w:bottom w:val="none" w:color="auto" w:sz="0" w:space="0"/>
          <w:right w:val="none" w:color="auto" w:sz="0" w:space="0"/>
          <w:between w:val="none" w:color="auto" w:sz="0" w:space="0"/>
        </w:pBdr>
        <w:jc w:val="left"/>
        <w:rPr>
          <w:rFonts w:asciiTheme="minorHAnsi" w:hAnsiTheme="minorHAnsi" w:cstheme="minorHAnsi"/>
          <w:bCs/>
          <w:kern w:val="1"/>
          <w:sz w:val="24"/>
          <w:szCs w:val="24"/>
        </w:rPr>
      </w:pPr>
      <w:r>
        <w:rPr>
          <w:rFonts w:asciiTheme="minorHAnsi" w:hAnsiTheme="minorHAnsi" w:cstheme="minorHAnsi"/>
          <w:bCs/>
          <w:kern w:val="1"/>
          <w:sz w:val="24"/>
          <w:szCs w:val="24"/>
        </w:rPr>
        <w:t>Lista de colaboradores de la organización</w:t>
      </w:r>
    </w:p>
    <w:p w14:paraId="0757CCF3">
      <w:pPr>
        <w:numPr>
          <w:ilvl w:val="0"/>
          <w:numId w:val="17"/>
        </w:numPr>
        <w:pBdr>
          <w:top w:val="none" w:color="auto" w:sz="0" w:space="0"/>
          <w:left w:val="none" w:color="auto" w:sz="0" w:space="0"/>
          <w:bottom w:val="none" w:color="auto" w:sz="0" w:space="0"/>
          <w:right w:val="none" w:color="auto" w:sz="0" w:space="0"/>
          <w:between w:val="none" w:color="auto" w:sz="0" w:space="0"/>
        </w:pBdr>
        <w:jc w:val="left"/>
        <w:rPr>
          <w:rFonts w:asciiTheme="minorHAnsi" w:hAnsiTheme="minorHAnsi" w:cstheme="minorHAnsi"/>
          <w:bCs/>
          <w:kern w:val="1"/>
          <w:sz w:val="24"/>
          <w:szCs w:val="24"/>
        </w:rPr>
      </w:pPr>
      <w:r>
        <w:rPr>
          <w:rFonts w:asciiTheme="minorHAnsi" w:hAnsiTheme="minorHAnsi" w:cstheme="minorHAnsi"/>
          <w:bCs/>
          <w:kern w:val="1"/>
          <w:sz w:val="24"/>
          <w:szCs w:val="24"/>
        </w:rPr>
        <w:t>Lista de vehículos automotores y no automotores</w:t>
      </w:r>
    </w:p>
    <w:p w14:paraId="4E5E27C5">
      <w:pPr>
        <w:numPr>
          <w:ilvl w:val="0"/>
          <w:numId w:val="17"/>
        </w:numPr>
        <w:pBdr>
          <w:top w:val="none" w:color="auto" w:sz="0" w:space="0"/>
          <w:left w:val="none" w:color="auto" w:sz="0" w:space="0"/>
          <w:bottom w:val="none" w:color="auto" w:sz="0" w:space="0"/>
          <w:right w:val="none" w:color="auto" w:sz="0" w:space="0"/>
          <w:between w:val="none" w:color="auto" w:sz="0" w:space="0"/>
        </w:pBdr>
        <w:rPr>
          <w:rFonts w:asciiTheme="minorHAnsi" w:hAnsiTheme="minorHAnsi" w:cstheme="minorHAnsi"/>
          <w:bCs/>
          <w:kern w:val="1"/>
          <w:sz w:val="24"/>
          <w:szCs w:val="24"/>
        </w:rPr>
      </w:pPr>
      <w:r>
        <w:rPr>
          <w:rFonts w:asciiTheme="minorHAnsi" w:hAnsiTheme="minorHAnsi" w:cstheme="minorHAnsi"/>
          <w:bCs/>
          <w:kern w:val="1"/>
          <w:sz w:val="24"/>
          <w:szCs w:val="24"/>
        </w:rPr>
        <w:t>Lista de rutas frecuentes de los desplazamientos laborales</w:t>
      </w:r>
    </w:p>
    <w:p w14:paraId="0D2891D4">
      <w:pPr>
        <w:numPr>
          <w:ilvl w:val="0"/>
          <w:numId w:val="17"/>
        </w:numPr>
        <w:pBdr>
          <w:top w:val="none" w:color="auto" w:sz="0" w:space="0"/>
          <w:left w:val="none" w:color="auto" w:sz="0" w:space="0"/>
          <w:bottom w:val="none" w:color="auto" w:sz="0" w:space="0"/>
          <w:right w:val="none" w:color="auto" w:sz="0" w:space="0"/>
          <w:between w:val="none" w:color="auto" w:sz="0" w:space="0"/>
        </w:pBdr>
        <w:rPr>
          <w:rFonts w:asciiTheme="minorHAnsi" w:hAnsiTheme="minorHAnsi" w:cstheme="minorHAnsi"/>
          <w:bCs/>
          <w:kern w:val="1"/>
          <w:sz w:val="24"/>
          <w:szCs w:val="24"/>
        </w:rPr>
      </w:pPr>
      <w:r>
        <w:rPr>
          <w:rFonts w:asciiTheme="minorHAnsi" w:hAnsiTheme="minorHAnsi" w:cstheme="minorHAnsi"/>
          <w:bCs/>
          <w:kern w:val="1"/>
          <w:sz w:val="24"/>
          <w:szCs w:val="24"/>
        </w:rPr>
        <w:t>Número de colaboradores capacitados en el plan de emergencias viales de la organización</w:t>
      </w:r>
    </w:p>
    <w:p w14:paraId="686F1CA6">
      <w:pPr>
        <w:numPr>
          <w:ilvl w:val="0"/>
          <w:numId w:val="17"/>
        </w:numPr>
        <w:pBdr>
          <w:top w:val="none" w:color="auto" w:sz="0" w:space="0"/>
          <w:left w:val="none" w:color="auto" w:sz="0" w:space="0"/>
          <w:bottom w:val="none" w:color="auto" w:sz="0" w:space="0"/>
          <w:right w:val="none" w:color="auto" w:sz="0" w:space="0"/>
          <w:between w:val="none" w:color="auto" w:sz="0" w:space="0"/>
        </w:pBdr>
        <w:rPr>
          <w:rFonts w:asciiTheme="minorHAnsi" w:hAnsiTheme="minorHAnsi" w:cstheme="minorHAnsi"/>
          <w:bCs/>
          <w:kern w:val="1"/>
          <w:sz w:val="24"/>
          <w:szCs w:val="24"/>
        </w:rPr>
      </w:pPr>
      <w:r>
        <w:rPr>
          <w:rFonts w:asciiTheme="minorHAnsi" w:hAnsiTheme="minorHAnsi" w:cstheme="minorHAnsi"/>
          <w:bCs/>
          <w:kern w:val="1"/>
          <w:sz w:val="24"/>
          <w:szCs w:val="24"/>
        </w:rPr>
        <w:t>Descripción y número de equipos, equipamiento o elementos de primeros auxilios dispuestos para la atención de siniestros viales</w:t>
      </w:r>
    </w:p>
    <w:p w14:paraId="09AAF3B6">
      <w:pPr>
        <w:numPr>
          <w:ilvl w:val="0"/>
          <w:numId w:val="17"/>
        </w:numPr>
        <w:pBdr>
          <w:top w:val="none" w:color="auto" w:sz="0" w:space="0"/>
          <w:left w:val="none" w:color="auto" w:sz="0" w:space="0"/>
          <w:bottom w:val="none" w:color="auto" w:sz="0" w:space="0"/>
          <w:right w:val="none" w:color="auto" w:sz="0" w:space="0"/>
          <w:between w:val="none" w:color="auto" w:sz="0" w:space="0"/>
        </w:pBdr>
        <w:rPr>
          <w:rFonts w:asciiTheme="minorHAnsi" w:hAnsiTheme="minorHAnsi" w:cstheme="minorHAnsi"/>
          <w:bCs/>
          <w:kern w:val="1"/>
          <w:sz w:val="24"/>
          <w:szCs w:val="24"/>
        </w:rPr>
      </w:pPr>
      <w:r>
        <w:rPr>
          <w:rFonts w:asciiTheme="minorHAnsi" w:hAnsiTheme="minorHAnsi" w:cstheme="minorHAnsi"/>
          <w:bCs/>
          <w:kern w:val="1"/>
          <w:sz w:val="24"/>
          <w:szCs w:val="24"/>
        </w:rPr>
        <w:t>Tipo y fecha de simulacros de atención de emergencias viales realizados.</w:t>
      </w:r>
    </w:p>
    <w:p w14:paraId="63BD3A84">
      <w:pPr>
        <w:tabs>
          <w:tab w:val="left" w:pos="142"/>
          <w:tab w:val="left" w:pos="284"/>
        </w:tabs>
        <w:suppressAutoHyphens/>
        <w:spacing w:line="276" w:lineRule="auto"/>
        <w:ind w:right="50"/>
        <w:rPr>
          <w:rFonts w:asciiTheme="minorHAnsi" w:hAnsiTheme="minorHAnsi" w:cstheme="minorHAnsi"/>
          <w:kern w:val="1"/>
          <w:sz w:val="24"/>
          <w:szCs w:val="24"/>
        </w:rPr>
      </w:pPr>
    </w:p>
    <w:p w14:paraId="1B0BD528">
      <w:pPr>
        <w:rPr>
          <w:rFonts w:asciiTheme="minorHAnsi" w:hAnsiTheme="minorHAnsi" w:cstheme="minorHAnsi"/>
          <w:kern w:val="1"/>
          <w:sz w:val="24"/>
          <w:szCs w:val="24"/>
        </w:rPr>
      </w:pPr>
      <w:r>
        <w:rPr>
          <w:rFonts w:asciiTheme="minorHAnsi" w:hAnsiTheme="minorHAnsi" w:cstheme="minorHAnsi"/>
          <w:kern w:val="1"/>
          <w:sz w:val="24"/>
          <w:szCs w:val="24"/>
        </w:rPr>
        <w:t xml:space="preserve">Los listados por Regional de los vehículos SENA, así como la maquinaria amarilla son verificados por cada una de las Regionales, así como los responsables de la administración y cuentadantes de estos, para que exista un verdadero control en la operación, mantenimiento y uso adecuado. </w:t>
      </w:r>
    </w:p>
    <w:p w14:paraId="1A2E0CA5">
      <w:pPr>
        <w:rPr>
          <w:rFonts w:asciiTheme="minorHAnsi" w:hAnsiTheme="minorHAnsi" w:cstheme="minorHAnsi"/>
          <w:kern w:val="1"/>
          <w:sz w:val="24"/>
          <w:szCs w:val="24"/>
        </w:rPr>
      </w:pPr>
    </w:p>
    <w:p w14:paraId="2F146E86">
      <w:pPr>
        <w:rPr>
          <w:rFonts w:asciiTheme="minorHAnsi" w:hAnsiTheme="minorHAnsi" w:cstheme="minorHAnsi"/>
          <w:kern w:val="1"/>
          <w:sz w:val="24"/>
          <w:szCs w:val="24"/>
        </w:rPr>
      </w:pPr>
      <w:r>
        <w:rPr>
          <w:rFonts w:asciiTheme="minorHAnsi" w:hAnsiTheme="minorHAnsi" w:cstheme="minorHAnsi"/>
          <w:kern w:val="1"/>
          <w:sz w:val="24"/>
          <w:szCs w:val="24"/>
        </w:rPr>
        <w:t xml:space="preserve">Para la recolección de información, se podrá aplicar encuestas de movilidad, teniendo en cuenta que se debe dar cobertura a todos los colaboradores de la organización. </w:t>
      </w:r>
    </w:p>
    <w:p w14:paraId="24785249">
      <w:pPr>
        <w:rPr>
          <w:rFonts w:asciiTheme="minorHAnsi" w:hAnsiTheme="minorHAnsi" w:cstheme="minorHAnsi"/>
          <w:bCs/>
          <w:kern w:val="1"/>
          <w:sz w:val="24"/>
          <w:szCs w:val="24"/>
        </w:rPr>
      </w:pPr>
    </w:p>
    <w:p w14:paraId="3DE0D768">
      <w:pPr>
        <w:rPr>
          <w:rFonts w:asciiTheme="minorHAnsi" w:hAnsiTheme="minorHAnsi" w:cstheme="minorHAnsi"/>
          <w:bCs/>
          <w:kern w:val="1"/>
          <w:sz w:val="24"/>
          <w:szCs w:val="24"/>
        </w:rPr>
      </w:pPr>
      <w:r>
        <w:rPr>
          <w:rFonts w:asciiTheme="minorHAnsi" w:hAnsiTheme="minorHAnsi" w:cstheme="minorHAnsi"/>
          <w:bCs/>
          <w:kern w:val="1"/>
          <w:sz w:val="24"/>
          <w:szCs w:val="24"/>
        </w:rPr>
        <w:t>Teniendo en cuenta estos elementos, el diagnóstico se encuentra documentado y se actualiza de manera anual.</w:t>
      </w:r>
    </w:p>
    <w:p w14:paraId="24B609AC">
      <w:pPr>
        <w:spacing w:line="276" w:lineRule="auto"/>
        <w:rPr>
          <w:rFonts w:asciiTheme="minorHAnsi" w:hAnsiTheme="minorHAnsi" w:cstheme="minorHAnsi"/>
          <w:bCs/>
          <w:kern w:val="1"/>
          <w:sz w:val="24"/>
          <w:szCs w:val="24"/>
        </w:rPr>
      </w:pPr>
    </w:p>
    <w:p w14:paraId="06EC9F4A">
      <w:pPr>
        <w:spacing w:line="276" w:lineRule="auto"/>
        <w:rPr>
          <w:rFonts w:asciiTheme="minorHAnsi" w:hAnsiTheme="minorHAnsi" w:cstheme="minorHAnsi"/>
          <w:bCs/>
          <w:kern w:val="1"/>
          <w:sz w:val="24"/>
          <w:szCs w:val="24"/>
        </w:rPr>
      </w:pPr>
      <w:r>
        <w:rPr>
          <w:rFonts w:asciiTheme="minorHAnsi" w:hAnsiTheme="minorHAnsi" w:cstheme="minorHAnsi"/>
          <w:bCs/>
          <w:kern w:val="1"/>
          <w:sz w:val="24"/>
          <w:szCs w:val="24"/>
        </w:rPr>
        <w:t xml:space="preserve">Las actividades identificadas en SENA y relacionadas con el transporte, se relacionan a continuación:  </w:t>
      </w:r>
    </w:p>
    <w:p w14:paraId="769DDD61">
      <w:pPr>
        <w:spacing w:line="276" w:lineRule="auto"/>
        <w:rPr>
          <w:rFonts w:asciiTheme="minorHAnsi" w:hAnsiTheme="minorHAnsi" w:cstheme="minorHAnsi"/>
          <w:bCs/>
          <w:kern w:val="1"/>
          <w:sz w:val="24"/>
          <w:szCs w:val="24"/>
        </w:rPr>
      </w:pPr>
    </w:p>
    <w:p w14:paraId="2142C089">
      <w:pPr>
        <w:pStyle w:val="51"/>
        <w:numPr>
          <w:ilvl w:val="2"/>
          <w:numId w:val="4"/>
        </w:numPr>
        <w:rPr>
          <w:b/>
          <w:bCs/>
        </w:rPr>
      </w:pPr>
      <w:bookmarkStart w:id="57" w:name="_Toc497841873"/>
      <w:bookmarkStart w:id="58" w:name="_Toc519172511"/>
      <w:r>
        <w:rPr>
          <w:b/>
          <w:bCs/>
        </w:rPr>
        <w:t>TRANSPORTE DE PERSONAL</w:t>
      </w:r>
      <w:bookmarkEnd w:id="57"/>
      <w:bookmarkEnd w:id="58"/>
    </w:p>
    <w:p w14:paraId="0C3B58BB">
      <w:pPr>
        <w:spacing w:line="276" w:lineRule="auto"/>
        <w:rPr>
          <w:rFonts w:asciiTheme="minorHAnsi" w:hAnsiTheme="minorHAnsi" w:cstheme="minorHAnsi"/>
          <w:sz w:val="24"/>
          <w:szCs w:val="24"/>
          <w:lang w:val="es-VE" w:eastAsia="es-CO"/>
        </w:rPr>
      </w:pPr>
    </w:p>
    <w:p w14:paraId="5BC7BF58">
      <w:pPr>
        <w:tabs>
          <w:tab w:val="left" w:pos="0"/>
          <w:tab w:val="left" w:pos="360"/>
        </w:tabs>
        <w:autoSpaceDE w:val="0"/>
        <w:autoSpaceDN w:val="0"/>
        <w:adjustRightInd w:val="0"/>
        <w:spacing w:line="276" w:lineRule="auto"/>
        <w:ind w:right="-279"/>
        <w:rPr>
          <w:rFonts w:asciiTheme="minorHAnsi" w:hAnsiTheme="minorHAnsi" w:cstheme="minorHAnsi"/>
          <w:bCs/>
          <w:sz w:val="24"/>
          <w:szCs w:val="24"/>
          <w:lang w:val="es-VE" w:eastAsia="es-VE"/>
        </w:rPr>
      </w:pPr>
      <w:r>
        <w:rPr>
          <w:rFonts w:asciiTheme="minorHAnsi" w:hAnsiTheme="minorHAnsi" w:cstheme="minorHAnsi"/>
          <w:bCs/>
          <w:sz w:val="24"/>
          <w:szCs w:val="24"/>
          <w:lang w:val="es-VE" w:eastAsia="es-VE"/>
        </w:rPr>
        <w:t>El SENA realiza transporte particular dando cumplimiento a los parámetros del Decreto 1079 de 2015 del Ministerio de Transporte “Por medio del cual se expide el Decreto Único Reglamentario del Sector Transporte”.</w:t>
      </w:r>
    </w:p>
    <w:p w14:paraId="190482C4">
      <w:pPr>
        <w:tabs>
          <w:tab w:val="left" w:pos="0"/>
          <w:tab w:val="left" w:pos="360"/>
        </w:tabs>
        <w:autoSpaceDE w:val="0"/>
        <w:autoSpaceDN w:val="0"/>
        <w:adjustRightInd w:val="0"/>
        <w:spacing w:line="276" w:lineRule="auto"/>
        <w:ind w:right="-279"/>
        <w:rPr>
          <w:rFonts w:asciiTheme="minorHAnsi" w:hAnsiTheme="minorHAnsi" w:cstheme="minorHAnsi"/>
          <w:bCs/>
          <w:sz w:val="24"/>
          <w:szCs w:val="24"/>
          <w:lang w:val="es-VE" w:eastAsia="es-VE"/>
        </w:rPr>
      </w:pPr>
    </w:p>
    <w:p w14:paraId="5D194CFA">
      <w:pPr>
        <w:tabs>
          <w:tab w:val="left" w:pos="0"/>
          <w:tab w:val="left" w:pos="360"/>
        </w:tabs>
        <w:autoSpaceDE w:val="0"/>
        <w:autoSpaceDN w:val="0"/>
        <w:adjustRightInd w:val="0"/>
        <w:spacing w:line="276" w:lineRule="auto"/>
        <w:ind w:right="-279"/>
        <w:rPr>
          <w:rFonts w:asciiTheme="minorHAnsi" w:hAnsiTheme="minorHAnsi" w:cstheme="minorHAnsi"/>
          <w:bCs/>
          <w:sz w:val="24"/>
          <w:szCs w:val="24"/>
          <w:lang w:val="es-VE" w:eastAsia="es-VE"/>
        </w:rPr>
      </w:pPr>
      <w:r>
        <w:rPr>
          <w:rFonts w:asciiTheme="minorHAnsi" w:hAnsiTheme="minorHAnsi" w:cstheme="minorHAnsi"/>
          <w:bCs/>
          <w:sz w:val="24"/>
          <w:szCs w:val="24"/>
          <w:lang w:val="es-VE" w:eastAsia="es-VE"/>
        </w:rPr>
        <w:t>Los vehículos de servicio particular, tienen tres esquemas de funcionamiento:</w:t>
      </w:r>
    </w:p>
    <w:p w14:paraId="2EAB005E">
      <w:pPr>
        <w:tabs>
          <w:tab w:val="left" w:pos="0"/>
          <w:tab w:val="left" w:pos="360"/>
        </w:tabs>
        <w:autoSpaceDE w:val="0"/>
        <w:autoSpaceDN w:val="0"/>
        <w:adjustRightInd w:val="0"/>
        <w:spacing w:line="276" w:lineRule="auto"/>
        <w:ind w:right="-279"/>
        <w:rPr>
          <w:rFonts w:asciiTheme="minorHAnsi" w:hAnsiTheme="minorHAnsi" w:cstheme="minorHAnsi"/>
          <w:b/>
          <w:bCs/>
          <w:sz w:val="24"/>
          <w:szCs w:val="24"/>
          <w:lang w:val="es-VE" w:eastAsia="es-VE"/>
        </w:rPr>
      </w:pPr>
    </w:p>
    <w:p w14:paraId="7139DF0D">
      <w:pPr>
        <w:numPr>
          <w:ilvl w:val="0"/>
          <w:numId w:val="18"/>
        </w:numPr>
        <w:tabs>
          <w:tab w:val="left" w:pos="540"/>
        </w:tabs>
        <w:autoSpaceDE w:val="0"/>
        <w:autoSpaceDN w:val="0"/>
        <w:adjustRightInd w:val="0"/>
        <w:spacing w:line="276" w:lineRule="auto"/>
        <w:ind w:left="540" w:right="-279" w:hanging="540"/>
        <w:rPr>
          <w:rFonts w:asciiTheme="minorHAnsi" w:hAnsiTheme="minorHAnsi" w:cstheme="minorHAnsi"/>
          <w:bCs/>
          <w:sz w:val="24"/>
          <w:szCs w:val="24"/>
          <w:lang w:val="es-VE" w:eastAsia="es-VE"/>
        </w:rPr>
      </w:pPr>
      <w:r>
        <w:rPr>
          <w:rFonts w:asciiTheme="minorHAnsi" w:hAnsiTheme="minorHAnsi" w:cstheme="minorHAnsi"/>
          <w:b/>
          <w:bCs/>
          <w:sz w:val="24"/>
          <w:szCs w:val="24"/>
          <w:lang w:val="es-VE" w:eastAsia="es-VE"/>
        </w:rPr>
        <w:t xml:space="preserve">Propiedad del SENA: </w:t>
      </w:r>
      <w:r>
        <w:rPr>
          <w:rFonts w:asciiTheme="minorHAnsi" w:hAnsiTheme="minorHAnsi" w:cstheme="minorHAnsi"/>
          <w:bCs/>
          <w:sz w:val="24"/>
          <w:szCs w:val="24"/>
          <w:lang w:val="es-VE" w:eastAsia="es-VE"/>
        </w:rPr>
        <w:t>Son utilizados exclusivamente para movilización de directivos y funcionarios en actividades laborales, entre las diferentes áreas de interés, dichos vehículos en todos los casos son remitidos para su mantenimiento integral a los talleres o proveedores seleccionados para este fin, y cuya responsabilidad es de cada una de las regionales.</w:t>
      </w:r>
    </w:p>
    <w:p w14:paraId="542EEBCF">
      <w:pPr>
        <w:numPr>
          <w:ilvl w:val="0"/>
          <w:numId w:val="19"/>
        </w:numPr>
        <w:tabs>
          <w:tab w:val="left" w:pos="540"/>
        </w:tabs>
        <w:autoSpaceDE w:val="0"/>
        <w:autoSpaceDN w:val="0"/>
        <w:adjustRightInd w:val="0"/>
        <w:spacing w:line="276" w:lineRule="auto"/>
        <w:ind w:left="540" w:right="-279" w:hanging="540"/>
        <w:rPr>
          <w:rFonts w:asciiTheme="minorHAnsi" w:hAnsiTheme="minorHAnsi" w:cstheme="minorHAnsi"/>
          <w:b/>
          <w:bCs/>
          <w:sz w:val="24"/>
          <w:szCs w:val="24"/>
          <w:lang w:val="es-VE" w:eastAsia="es-VE"/>
        </w:rPr>
      </w:pPr>
      <w:r>
        <w:rPr>
          <w:rFonts w:asciiTheme="minorHAnsi" w:hAnsiTheme="minorHAnsi" w:cstheme="minorHAnsi"/>
          <w:b/>
          <w:bCs/>
          <w:sz w:val="24"/>
          <w:szCs w:val="24"/>
          <w:lang w:val="es-VE" w:eastAsia="es-VE"/>
        </w:rPr>
        <w:t xml:space="preserve">Alquiler de vehículos (empresas contratistas): </w:t>
      </w:r>
      <w:r>
        <w:rPr>
          <w:rFonts w:asciiTheme="minorHAnsi" w:hAnsiTheme="minorHAnsi" w:cstheme="minorHAnsi"/>
          <w:bCs/>
          <w:sz w:val="24"/>
          <w:szCs w:val="24"/>
          <w:lang w:val="es-VE" w:eastAsia="es-VE"/>
        </w:rPr>
        <w:t>Se realiza mediante un modelo de contrato de alquiler de flota de vehículos dedicados a la movilización de personal, entre las diferentes áreas de interés para el SENA. La responsabilidad de mantenimiento y puesta a punto es de cada empresa contratista, así como un Plan Estratégico de Seguridad Vial, capacitación de sus conductores y exámenes médicos, etc., en todos los casos las empresas deberán demostrar acciones encaminadas a la prevención de acuerdo a lo establecido en la normatividad legal vigente.</w:t>
      </w:r>
    </w:p>
    <w:p w14:paraId="2719483B">
      <w:pPr>
        <w:numPr>
          <w:ilvl w:val="0"/>
          <w:numId w:val="19"/>
        </w:numPr>
        <w:tabs>
          <w:tab w:val="left" w:pos="540"/>
        </w:tabs>
        <w:autoSpaceDE w:val="0"/>
        <w:autoSpaceDN w:val="0"/>
        <w:adjustRightInd w:val="0"/>
        <w:spacing w:line="276" w:lineRule="auto"/>
        <w:ind w:left="540" w:right="-279" w:hanging="540"/>
        <w:rPr>
          <w:rFonts w:asciiTheme="minorHAnsi" w:hAnsiTheme="minorHAnsi" w:cstheme="minorHAnsi"/>
          <w:bCs/>
          <w:sz w:val="24"/>
          <w:szCs w:val="24"/>
          <w:lang w:val="es-VE" w:eastAsia="es-VE"/>
        </w:rPr>
      </w:pPr>
      <w:r>
        <w:rPr>
          <w:rFonts w:asciiTheme="minorHAnsi" w:hAnsiTheme="minorHAnsi" w:cstheme="minorHAnsi"/>
          <w:b/>
          <w:bCs/>
          <w:sz w:val="24"/>
          <w:szCs w:val="24"/>
          <w:lang w:val="es-VE" w:eastAsia="es-VE"/>
        </w:rPr>
        <w:t>Pago de auxilio de rodamiento</w:t>
      </w:r>
      <w:r>
        <w:rPr>
          <w:rFonts w:asciiTheme="minorHAnsi" w:hAnsiTheme="minorHAnsi" w:cstheme="minorHAnsi"/>
          <w:bCs/>
          <w:sz w:val="24"/>
          <w:szCs w:val="24"/>
          <w:lang w:val="es-VE" w:eastAsia="es-VE"/>
        </w:rPr>
        <w:t xml:space="preserve">: Este auxilio se concede a personal directo del SENA, este personal se regirá por las políticas definidas por la organización para el desarrollo de sus actividades misionales haciendo uso de esta herramienta (motocicleta o vehículos), dichos vehículos están bajo responsabilidad del personal a quien se paga el auxilio de rodamiento (propietario o poseedor autorizado) de acuerdo a lo establecido en la </w:t>
      </w:r>
      <w:r>
        <w:rPr>
          <w:rFonts w:asciiTheme="minorHAnsi" w:hAnsiTheme="minorHAnsi" w:cstheme="minorHAnsi"/>
          <w:bCs/>
          <w:sz w:val="24"/>
          <w:szCs w:val="24"/>
          <w:highlight w:val="yellow"/>
          <w:lang w:val="es-VE" w:eastAsia="es-VE"/>
        </w:rPr>
        <w:t>resolución interna 1313 de 2017</w:t>
      </w:r>
      <w:r>
        <w:rPr>
          <w:rFonts w:asciiTheme="minorHAnsi" w:hAnsiTheme="minorHAnsi" w:cstheme="minorHAnsi"/>
          <w:bCs/>
          <w:sz w:val="24"/>
          <w:szCs w:val="24"/>
          <w:lang w:val="es-VE" w:eastAsia="es-VE"/>
        </w:rPr>
        <w:t>.</w:t>
      </w:r>
    </w:p>
    <w:p w14:paraId="0FF4C5B8">
      <w:pPr>
        <w:tabs>
          <w:tab w:val="left" w:pos="540"/>
        </w:tabs>
        <w:autoSpaceDE w:val="0"/>
        <w:autoSpaceDN w:val="0"/>
        <w:adjustRightInd w:val="0"/>
        <w:spacing w:line="276" w:lineRule="auto"/>
        <w:ind w:left="540" w:right="-279"/>
        <w:rPr>
          <w:rFonts w:asciiTheme="minorHAnsi" w:hAnsiTheme="minorHAnsi" w:cstheme="minorHAnsi"/>
          <w:bCs/>
          <w:sz w:val="24"/>
          <w:szCs w:val="24"/>
          <w:lang w:val="es-VE" w:eastAsia="es-VE"/>
        </w:rPr>
      </w:pPr>
    </w:p>
    <w:p w14:paraId="3C51E5DB">
      <w:pPr>
        <w:pStyle w:val="51"/>
        <w:numPr>
          <w:ilvl w:val="2"/>
          <w:numId w:val="4"/>
        </w:numPr>
        <w:ind w:left="851"/>
        <w:rPr>
          <w:b/>
          <w:bCs/>
        </w:rPr>
      </w:pPr>
      <w:bookmarkStart w:id="59" w:name="_Toc519172512"/>
      <w:r>
        <w:rPr>
          <w:b/>
          <w:bCs/>
        </w:rPr>
        <w:t>TRANSPORTE ESPECIAL</w:t>
      </w:r>
      <w:bookmarkEnd w:id="59"/>
    </w:p>
    <w:p w14:paraId="2CEBDD60">
      <w:pPr>
        <w:spacing w:line="276" w:lineRule="auto"/>
        <w:rPr>
          <w:rFonts w:asciiTheme="minorHAnsi" w:hAnsiTheme="minorHAnsi" w:cstheme="minorHAnsi"/>
          <w:sz w:val="24"/>
          <w:szCs w:val="24"/>
          <w:lang w:eastAsia="es-CO"/>
        </w:rPr>
      </w:pPr>
    </w:p>
    <w:p w14:paraId="6F98650B">
      <w:pPr>
        <w:autoSpaceDE w:val="0"/>
        <w:autoSpaceDN w:val="0"/>
        <w:adjustRightInd w:val="0"/>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val="es-VE" w:eastAsia="en-US"/>
        </w:rPr>
        <w:t>El SENA</w:t>
      </w:r>
      <w:r>
        <w:rPr>
          <w:rFonts w:eastAsia="Calibri" w:asciiTheme="minorHAnsi" w:hAnsiTheme="minorHAnsi" w:cstheme="minorHAnsi"/>
          <w:sz w:val="24"/>
          <w:szCs w:val="24"/>
          <w:lang w:eastAsia="en-US"/>
        </w:rPr>
        <w:t xml:space="preserve"> realiza transporte de personal dando cumplimiento a los parámetros del Decreto 1079 de 2015 del Ministerio de Transporte “</w:t>
      </w:r>
      <w:r>
        <w:rPr>
          <w:rFonts w:eastAsia="Calibri" w:asciiTheme="minorHAnsi" w:hAnsiTheme="minorHAnsi" w:cstheme="minorHAnsi"/>
          <w:i/>
          <w:iCs/>
          <w:sz w:val="24"/>
          <w:szCs w:val="24"/>
          <w:lang w:eastAsia="en-US"/>
        </w:rPr>
        <w:t>Por medio del cual se expide el</w:t>
      </w:r>
      <w:r>
        <w:rPr>
          <w:rFonts w:eastAsia="Calibri" w:asciiTheme="minorHAnsi" w:hAnsiTheme="minorHAnsi" w:cstheme="minorHAnsi"/>
          <w:sz w:val="24"/>
          <w:szCs w:val="24"/>
          <w:lang w:eastAsia="en-US"/>
        </w:rPr>
        <w:t xml:space="preserve"> </w:t>
      </w:r>
      <w:r>
        <w:rPr>
          <w:rFonts w:eastAsia="Calibri" w:asciiTheme="minorHAnsi" w:hAnsiTheme="minorHAnsi" w:cstheme="minorHAnsi"/>
          <w:i/>
          <w:iCs/>
          <w:sz w:val="24"/>
          <w:szCs w:val="24"/>
          <w:lang w:eastAsia="en-US"/>
        </w:rPr>
        <w:t>Decreto Único Reglamentario del Sector Transporte</w:t>
      </w:r>
      <w:r>
        <w:rPr>
          <w:rFonts w:eastAsia="Calibri" w:asciiTheme="minorHAnsi" w:hAnsiTheme="minorHAnsi" w:cstheme="minorHAnsi"/>
          <w:sz w:val="24"/>
          <w:szCs w:val="24"/>
          <w:lang w:eastAsia="en-US"/>
        </w:rPr>
        <w:t>”, por medio de contrato para transporte de personal con las empresas, que se seleccionan bajo las modalidades que se permiten en las entidades estatales como por ejemplo la Licitación Pública, la Selección Abreviada, o el Concurso de Méritos de acuerdo a las características específicas en cada Regional y dependerá exclusivamente de los Directores o Sub directores en cada una de ellas.</w:t>
      </w:r>
    </w:p>
    <w:p w14:paraId="4469478A">
      <w:pPr>
        <w:autoSpaceDE w:val="0"/>
        <w:autoSpaceDN w:val="0"/>
        <w:adjustRightInd w:val="0"/>
        <w:spacing w:line="276" w:lineRule="auto"/>
        <w:rPr>
          <w:rFonts w:eastAsia="Calibri" w:asciiTheme="minorHAnsi" w:hAnsiTheme="minorHAnsi" w:cstheme="minorHAnsi"/>
          <w:sz w:val="24"/>
          <w:szCs w:val="24"/>
          <w:lang w:eastAsia="en-US"/>
        </w:rPr>
      </w:pPr>
    </w:p>
    <w:p w14:paraId="15EA4C62">
      <w:pPr>
        <w:pStyle w:val="51"/>
        <w:numPr>
          <w:ilvl w:val="2"/>
          <w:numId w:val="4"/>
        </w:numPr>
        <w:ind w:left="851"/>
        <w:rPr>
          <w:b/>
          <w:bCs/>
        </w:rPr>
      </w:pPr>
      <w:bookmarkStart w:id="60" w:name="_Toc497841874"/>
      <w:bookmarkStart w:id="61" w:name="_Toc519172513"/>
      <w:r>
        <w:rPr>
          <w:b/>
          <w:bCs/>
        </w:rPr>
        <w:t>TRANSPORTE DE BIENES</w:t>
      </w:r>
      <w:bookmarkEnd w:id="60"/>
      <w:bookmarkEnd w:id="61"/>
    </w:p>
    <w:p w14:paraId="5880F782">
      <w:pPr>
        <w:spacing w:line="276" w:lineRule="auto"/>
        <w:rPr>
          <w:rFonts w:asciiTheme="minorHAnsi" w:hAnsiTheme="minorHAnsi" w:cstheme="minorHAnsi"/>
          <w:sz w:val="24"/>
          <w:szCs w:val="24"/>
          <w:lang w:eastAsia="es-CO"/>
        </w:rPr>
      </w:pPr>
    </w:p>
    <w:p w14:paraId="66A420FF">
      <w:pPr>
        <w:pStyle w:val="5"/>
        <w:numPr>
          <w:ilvl w:val="0"/>
          <w:numId w:val="20"/>
        </w:numPr>
        <w:spacing w:before="0"/>
        <w:rPr>
          <w:rFonts w:asciiTheme="minorHAnsi" w:hAnsiTheme="minorHAnsi" w:cstheme="minorHAnsi"/>
          <w:sz w:val="24"/>
          <w:szCs w:val="24"/>
          <w:lang w:val="es-VE"/>
        </w:rPr>
      </w:pPr>
      <w:r>
        <w:rPr>
          <w:rFonts w:asciiTheme="minorHAnsi" w:hAnsiTheme="minorHAnsi" w:cstheme="minorHAnsi"/>
          <w:sz w:val="24"/>
          <w:szCs w:val="24"/>
          <w:lang w:val="es-VE"/>
        </w:rPr>
        <w:t>Transporte de carga (Contratistas)</w:t>
      </w:r>
    </w:p>
    <w:p w14:paraId="4192D09F">
      <w:pPr>
        <w:spacing w:line="276" w:lineRule="auto"/>
        <w:rPr>
          <w:rFonts w:asciiTheme="minorHAnsi" w:hAnsiTheme="minorHAnsi" w:cstheme="minorHAnsi"/>
          <w:sz w:val="24"/>
          <w:szCs w:val="24"/>
          <w:lang w:val="es-VE" w:eastAsia="es-CO"/>
        </w:rPr>
      </w:pPr>
    </w:p>
    <w:p w14:paraId="385A3283">
      <w:pPr>
        <w:tabs>
          <w:tab w:val="left" w:pos="0"/>
          <w:tab w:val="left" w:pos="360"/>
        </w:tabs>
        <w:autoSpaceDE w:val="0"/>
        <w:autoSpaceDN w:val="0"/>
        <w:adjustRightInd w:val="0"/>
        <w:spacing w:line="276" w:lineRule="auto"/>
        <w:ind w:right="-279"/>
        <w:rPr>
          <w:rFonts w:asciiTheme="minorHAnsi" w:hAnsiTheme="minorHAnsi" w:cstheme="minorHAnsi"/>
          <w:bCs/>
          <w:sz w:val="24"/>
          <w:szCs w:val="24"/>
          <w:lang w:val="es-VE" w:eastAsia="es-VE"/>
        </w:rPr>
      </w:pPr>
      <w:r>
        <w:rPr>
          <w:rFonts w:asciiTheme="minorHAnsi" w:hAnsiTheme="minorHAnsi" w:cstheme="minorHAnsi"/>
          <w:bCs/>
          <w:sz w:val="24"/>
          <w:szCs w:val="24"/>
          <w:lang w:val="es-VE" w:eastAsia="es-VE"/>
        </w:rPr>
        <w:t xml:space="preserve">El SENA eventualmente realiza transporte de carga de equipos o materiales, con empresas especializadas y debidamente habilitadas para la prestación de este servicio, dando cumplimiento a los parámetros del Decreto 1079 de 2015 del Ministerio de Transporte “Por medio del cual se expide el Decreto Único Reglamentario del Sector Transporte”. </w:t>
      </w:r>
    </w:p>
    <w:p w14:paraId="7750A1C1">
      <w:pPr>
        <w:tabs>
          <w:tab w:val="left" w:pos="0"/>
          <w:tab w:val="left" w:pos="360"/>
        </w:tabs>
        <w:autoSpaceDE w:val="0"/>
        <w:autoSpaceDN w:val="0"/>
        <w:adjustRightInd w:val="0"/>
        <w:spacing w:line="276" w:lineRule="auto"/>
        <w:ind w:right="-279"/>
        <w:rPr>
          <w:rFonts w:asciiTheme="minorHAnsi" w:hAnsiTheme="minorHAnsi" w:cstheme="minorHAnsi"/>
          <w:bCs/>
          <w:sz w:val="24"/>
          <w:szCs w:val="24"/>
          <w:lang w:val="es-VE" w:eastAsia="es-VE"/>
        </w:rPr>
      </w:pPr>
    </w:p>
    <w:p w14:paraId="6B5A64F8">
      <w:pPr>
        <w:pStyle w:val="5"/>
        <w:numPr>
          <w:ilvl w:val="0"/>
          <w:numId w:val="20"/>
        </w:numPr>
        <w:spacing w:before="0"/>
        <w:rPr>
          <w:rFonts w:asciiTheme="minorHAnsi" w:hAnsiTheme="minorHAnsi" w:cstheme="minorHAnsi"/>
          <w:sz w:val="24"/>
          <w:szCs w:val="24"/>
          <w:lang w:val="es-VE"/>
        </w:rPr>
      </w:pPr>
      <w:r>
        <w:rPr>
          <w:rFonts w:asciiTheme="minorHAnsi" w:hAnsiTheme="minorHAnsi" w:cstheme="minorHAnsi"/>
          <w:sz w:val="24"/>
          <w:szCs w:val="24"/>
          <w:lang w:val="es-VE"/>
        </w:rPr>
        <w:t>Transporte de materiales peligrosos (Contratistas)</w:t>
      </w:r>
    </w:p>
    <w:p w14:paraId="05E061AD">
      <w:pPr>
        <w:spacing w:line="276" w:lineRule="auto"/>
        <w:rPr>
          <w:rFonts w:asciiTheme="minorHAnsi" w:hAnsiTheme="minorHAnsi" w:cstheme="minorHAnsi"/>
          <w:sz w:val="24"/>
          <w:szCs w:val="24"/>
          <w:lang w:val="es-VE" w:eastAsia="es-CO"/>
        </w:rPr>
      </w:pPr>
    </w:p>
    <w:p w14:paraId="0C0FECC3">
      <w:pPr>
        <w:tabs>
          <w:tab w:val="left" w:pos="0"/>
          <w:tab w:val="left" w:pos="360"/>
        </w:tabs>
        <w:autoSpaceDE w:val="0"/>
        <w:autoSpaceDN w:val="0"/>
        <w:adjustRightInd w:val="0"/>
        <w:spacing w:line="276" w:lineRule="auto"/>
        <w:ind w:right="-279"/>
        <w:rPr>
          <w:rFonts w:asciiTheme="minorHAnsi" w:hAnsiTheme="minorHAnsi" w:cstheme="minorHAnsi"/>
          <w:bCs/>
          <w:sz w:val="24"/>
          <w:szCs w:val="24"/>
          <w:lang w:val="es-VE" w:eastAsia="es-VE"/>
        </w:rPr>
      </w:pPr>
      <w:r>
        <w:rPr>
          <w:rFonts w:asciiTheme="minorHAnsi" w:hAnsiTheme="minorHAnsi" w:cstheme="minorHAnsi"/>
          <w:bCs/>
          <w:sz w:val="24"/>
          <w:szCs w:val="24"/>
          <w:lang w:val="es-VE" w:eastAsia="es-VE"/>
        </w:rPr>
        <w:t xml:space="preserve">El SENA realiza transporte de carga de materiales peligrosos, con empresas especializadas y debidamente habilitadas para la prestación de este servicio, dando cumplimiento a los parámetros del Decreto 1079 de 2015 del Ministerio de Transporte “Por medio del cual se expide el Decreto Único Reglamentario del Sector Transporte”. </w:t>
      </w:r>
    </w:p>
    <w:p w14:paraId="59FAB02F">
      <w:pPr>
        <w:tabs>
          <w:tab w:val="left" w:pos="0"/>
          <w:tab w:val="left" w:pos="360"/>
        </w:tabs>
        <w:autoSpaceDE w:val="0"/>
        <w:autoSpaceDN w:val="0"/>
        <w:adjustRightInd w:val="0"/>
        <w:spacing w:line="276" w:lineRule="auto"/>
        <w:ind w:right="-279"/>
        <w:rPr>
          <w:rFonts w:asciiTheme="minorHAnsi" w:hAnsiTheme="minorHAnsi" w:cstheme="minorHAnsi"/>
          <w:b/>
          <w:bCs/>
          <w:sz w:val="24"/>
          <w:szCs w:val="24"/>
          <w:lang w:val="es-VE" w:eastAsia="es-VE"/>
        </w:rPr>
      </w:pPr>
    </w:p>
    <w:p w14:paraId="0145CF86">
      <w:pPr>
        <w:pStyle w:val="51"/>
        <w:numPr>
          <w:ilvl w:val="0"/>
          <w:numId w:val="20"/>
        </w:numPr>
        <w:rPr>
          <w:rFonts w:eastAsia="Times New Roman" w:asciiTheme="minorHAnsi" w:hAnsiTheme="minorHAnsi" w:cstheme="minorHAnsi"/>
          <w:b/>
          <w:bCs/>
          <w:iCs/>
          <w:sz w:val="24"/>
          <w:szCs w:val="24"/>
          <w:lang w:val="es-VE" w:eastAsia="es-CO"/>
        </w:rPr>
      </w:pPr>
      <w:r>
        <w:rPr>
          <w:rFonts w:eastAsia="Times New Roman" w:asciiTheme="minorHAnsi" w:hAnsiTheme="minorHAnsi" w:cstheme="minorHAnsi"/>
          <w:b/>
          <w:bCs/>
          <w:iCs/>
          <w:sz w:val="24"/>
          <w:szCs w:val="24"/>
          <w:lang w:val="es-VE" w:eastAsia="es-CO"/>
        </w:rPr>
        <w:t>Mensajería</w:t>
      </w:r>
    </w:p>
    <w:p w14:paraId="6E36EFFD">
      <w:pPr>
        <w:spacing w:line="276" w:lineRule="auto"/>
        <w:rPr>
          <w:rFonts w:eastAsia="Calibri" w:asciiTheme="minorHAnsi" w:hAnsiTheme="minorHAnsi" w:cstheme="minorHAnsi"/>
          <w:sz w:val="24"/>
          <w:szCs w:val="24"/>
          <w:lang w:eastAsia="es-CO"/>
        </w:rPr>
      </w:pPr>
    </w:p>
    <w:p w14:paraId="4CA1B279">
      <w:pPr>
        <w:autoSpaceDE w:val="0"/>
        <w:autoSpaceDN w:val="0"/>
        <w:adjustRightInd w:val="0"/>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 xml:space="preserve">A cierre de este diagnóstico, El SENA cuenta con los servicios de una </w:t>
      </w:r>
      <w:r>
        <w:rPr>
          <w:rFonts w:eastAsia="Calibri" w:asciiTheme="minorHAnsi" w:hAnsiTheme="minorHAnsi" w:cstheme="minorHAnsi"/>
          <w:sz w:val="24"/>
          <w:szCs w:val="24"/>
          <w:highlight w:val="yellow"/>
          <w:lang w:eastAsia="en-US"/>
        </w:rPr>
        <w:t>empresa de mensajería como parte de su nómina, quien presta servicios al SENA</w:t>
      </w:r>
      <w:r>
        <w:rPr>
          <w:rFonts w:eastAsia="Calibri" w:asciiTheme="minorHAnsi" w:hAnsiTheme="minorHAnsi" w:cstheme="minorHAnsi"/>
          <w:sz w:val="24"/>
          <w:szCs w:val="24"/>
          <w:lang w:eastAsia="en-US"/>
        </w:rPr>
        <w:t>.</w:t>
      </w:r>
    </w:p>
    <w:p w14:paraId="03C2CC3B">
      <w:pPr>
        <w:suppressAutoHyphens/>
        <w:spacing w:line="276" w:lineRule="auto"/>
        <w:rPr>
          <w:rFonts w:asciiTheme="minorHAnsi" w:hAnsiTheme="minorHAnsi" w:cstheme="minorHAnsi"/>
          <w:b/>
          <w:bCs/>
          <w:sz w:val="24"/>
          <w:szCs w:val="24"/>
          <w:lang w:eastAsia="es-CO"/>
        </w:rPr>
      </w:pPr>
    </w:p>
    <w:p w14:paraId="08EFF2E2">
      <w:pPr>
        <w:suppressAutoHyphens/>
        <w:spacing w:line="276" w:lineRule="auto"/>
        <w:rPr>
          <w:rFonts w:asciiTheme="minorHAnsi" w:hAnsiTheme="minorHAnsi" w:cstheme="minorHAnsi"/>
          <w:b/>
          <w:bCs/>
          <w:sz w:val="24"/>
          <w:szCs w:val="24"/>
          <w:lang w:eastAsia="es-CO"/>
        </w:rPr>
      </w:pPr>
    </w:p>
    <w:p w14:paraId="5B958727">
      <w:pPr>
        <w:pStyle w:val="3"/>
        <w:numPr>
          <w:ilvl w:val="1"/>
          <w:numId w:val="4"/>
        </w:numPr>
        <w:spacing w:after="0" w:line="276" w:lineRule="auto"/>
        <w:ind w:left="540" w:hanging="540"/>
        <w:rPr>
          <w:rFonts w:asciiTheme="minorHAnsi" w:hAnsiTheme="minorHAnsi" w:cstheme="minorHAnsi"/>
          <w:color w:val="auto"/>
          <w:sz w:val="24"/>
        </w:rPr>
      </w:pPr>
      <w:bookmarkStart w:id="62" w:name="_Toc188966784"/>
      <w:r>
        <w:rPr>
          <w:rFonts w:asciiTheme="minorHAnsi" w:hAnsiTheme="minorHAnsi" w:cstheme="minorHAnsi"/>
          <w:color w:val="auto"/>
          <w:sz w:val="24"/>
        </w:rPr>
        <w:t>CARACTERIZACIÓN, EVALUACIÓN Y CONTROL DE RIESGOS</w:t>
      </w:r>
      <w:bookmarkEnd w:id="62"/>
    </w:p>
    <w:p w14:paraId="0478BACC">
      <w:pPr>
        <w:suppressAutoHyphens/>
        <w:spacing w:line="276" w:lineRule="auto"/>
        <w:rPr>
          <w:rFonts w:eastAsia="Calibri" w:asciiTheme="minorHAnsi" w:hAnsiTheme="minorHAnsi" w:cstheme="minorHAnsi"/>
          <w:kern w:val="2"/>
          <w:sz w:val="24"/>
          <w:szCs w:val="24"/>
          <w:lang w:eastAsia="en-US"/>
        </w:rPr>
      </w:pPr>
      <w:r>
        <w:rPr>
          <w:rFonts w:eastAsia="Calibri" w:asciiTheme="minorHAnsi" w:hAnsiTheme="minorHAnsi" w:cstheme="minorHAnsi"/>
          <w:kern w:val="2"/>
          <w:sz w:val="24"/>
          <w:szCs w:val="24"/>
          <w:lang w:eastAsia="en-US"/>
        </w:rPr>
        <w:t xml:space="preserve">De acuerdo con la información recopilada y los análisis de </w:t>
      </w:r>
      <w:r>
        <w:rPr>
          <w:rFonts w:eastAsia="Calibri" w:asciiTheme="minorHAnsi" w:hAnsiTheme="minorHAnsi" w:cstheme="minorHAnsi"/>
          <w:color w:val="00B050"/>
          <w:kern w:val="2"/>
          <w:sz w:val="24"/>
          <w:szCs w:val="24"/>
          <w:lang w:eastAsia="en-US"/>
        </w:rPr>
        <w:t>siniestralidad vial</w:t>
      </w:r>
      <w:r>
        <w:rPr>
          <w:rFonts w:eastAsia="Calibri" w:asciiTheme="minorHAnsi" w:hAnsiTheme="minorHAnsi" w:cstheme="minorHAnsi"/>
          <w:kern w:val="2"/>
          <w:sz w:val="24"/>
          <w:szCs w:val="24"/>
          <w:lang w:eastAsia="en-US"/>
        </w:rPr>
        <w:t xml:space="preserve"> que tiene la institución, se identificaron y caracterizaron los riesgos viales a los cuales están expuestos los </w:t>
      </w:r>
      <w:r>
        <w:rPr>
          <w:rFonts w:eastAsia="Calibri" w:asciiTheme="minorHAnsi" w:hAnsiTheme="minorHAnsi" w:cstheme="minorHAnsi"/>
          <w:color w:val="00B050"/>
          <w:kern w:val="2"/>
          <w:sz w:val="24"/>
          <w:szCs w:val="24"/>
          <w:lang w:eastAsia="en-US"/>
        </w:rPr>
        <w:t>colaboradores</w:t>
      </w:r>
      <w:r>
        <w:rPr>
          <w:rFonts w:eastAsia="Calibri" w:asciiTheme="minorHAnsi" w:hAnsiTheme="minorHAnsi" w:cstheme="minorHAnsi"/>
          <w:kern w:val="2"/>
          <w:sz w:val="24"/>
          <w:szCs w:val="24"/>
          <w:lang w:eastAsia="en-US"/>
        </w:rPr>
        <w:t>. Dicha evaluación se desarrolla para cada uno de los procesos tanto administrativos como operativos definidos por la organización, a continuación, se presenta la estructura bajo la cual se realizó esta primera fase de identificación cualitativa.</w:t>
      </w:r>
    </w:p>
    <w:p w14:paraId="26A2CDEC">
      <w:pPr>
        <w:spacing w:line="276" w:lineRule="auto"/>
        <w:rPr>
          <w:rFonts w:asciiTheme="minorHAnsi" w:hAnsiTheme="minorHAnsi" w:cstheme="minorHAnsi"/>
          <w:sz w:val="24"/>
          <w:szCs w:val="24"/>
          <w:lang w:eastAsia="en-US"/>
        </w:rPr>
      </w:pPr>
    </w:p>
    <w:p w14:paraId="4EC297D9">
      <w:pPr>
        <w:rPr>
          <w:b/>
          <w:bCs/>
          <w:highlight w:val="yellow"/>
        </w:rPr>
      </w:pPr>
      <w:bookmarkStart w:id="63" w:name="_Toc519172521"/>
      <w:r>
        <w:rPr>
          <w:b/>
          <w:bCs/>
          <w:highlight w:val="yellow"/>
        </w:rPr>
        <w:t>CALIFICACIÓN Y CLASIFICACIÓN DEL RIESGOS VIALES.</w:t>
      </w:r>
      <w:bookmarkEnd w:id="63"/>
    </w:p>
    <w:p w14:paraId="1A4833C1">
      <w:pPr>
        <w:spacing w:line="276" w:lineRule="auto"/>
        <w:rPr>
          <w:rFonts w:asciiTheme="minorHAnsi" w:hAnsiTheme="minorHAnsi" w:cstheme="minorHAnsi"/>
          <w:sz w:val="24"/>
          <w:szCs w:val="24"/>
          <w:lang w:eastAsia="en-US"/>
        </w:rPr>
      </w:pPr>
    </w:p>
    <w:p w14:paraId="5EF6375F">
      <w:pPr>
        <w:spacing w:line="276" w:lineRule="auto"/>
        <w:rPr>
          <w:rFonts w:asciiTheme="minorHAnsi" w:hAnsiTheme="minorHAnsi" w:cstheme="minorHAnsi"/>
          <w:sz w:val="24"/>
          <w:szCs w:val="24"/>
        </w:rPr>
      </w:pPr>
      <w:r>
        <w:rPr>
          <w:rFonts w:asciiTheme="minorHAnsi" w:hAnsiTheme="minorHAnsi" w:cstheme="minorHAnsi"/>
          <w:sz w:val="24"/>
          <w:szCs w:val="24"/>
        </w:rPr>
        <w:t xml:space="preserve">La entidad ha gestionado la identificación, calificación y clasificación de los riesgos laborales enmarcados en su Sistema de Gestión y Autocontrol – SIGA y para esto se utilizó la metodología definida en la Guía técnica colombiana </w:t>
      </w:r>
      <w:r>
        <w:rPr>
          <w:rFonts w:asciiTheme="minorHAnsi" w:hAnsiTheme="minorHAnsi" w:cstheme="minorHAnsi"/>
          <w:sz w:val="24"/>
          <w:szCs w:val="24"/>
          <w:highlight w:val="yellow"/>
        </w:rPr>
        <w:t>GTC 45,</w:t>
      </w:r>
      <w:r>
        <w:rPr>
          <w:rFonts w:asciiTheme="minorHAnsi" w:hAnsiTheme="minorHAnsi" w:cstheme="minorHAnsi"/>
          <w:sz w:val="24"/>
          <w:szCs w:val="24"/>
        </w:rPr>
        <w:t xml:space="preserve"> Guía para la identificación de los peligros y la valoración de los riesgos en seguridad y salud ocupacional y con la cual se establecer la matriz de peligros y valoración de los riesgos. Para los temas asociados a la seguridad vial, se ha utilizado la misma metodología, esto permite identificar y </w:t>
      </w:r>
      <w:r>
        <w:rPr>
          <w:rFonts w:asciiTheme="minorHAnsi" w:hAnsiTheme="minorHAnsi" w:cstheme="minorHAnsi"/>
          <w:color w:val="00B050"/>
          <w:sz w:val="24"/>
          <w:szCs w:val="24"/>
        </w:rPr>
        <w:t>evaluar</w:t>
      </w:r>
      <w:r>
        <w:rPr>
          <w:rFonts w:asciiTheme="minorHAnsi" w:hAnsiTheme="minorHAnsi" w:cstheme="minorHAnsi"/>
          <w:sz w:val="24"/>
          <w:szCs w:val="24"/>
        </w:rPr>
        <w:t xml:space="preserve"> los riesgos producto de las actividades viales, el procedimiento para adelantar este proceso se encuentra documentando y en él se describe el paso a paso a seguir para el desarrollo de esta calificación y clasificación se encuentra con el código</w:t>
      </w:r>
      <w:r>
        <w:rPr>
          <w:rFonts w:eastAsia="Calibri" w:asciiTheme="minorHAnsi" w:hAnsiTheme="minorHAnsi" w:cstheme="minorHAnsi"/>
          <w:kern w:val="2"/>
          <w:sz w:val="24"/>
          <w:szCs w:val="24"/>
          <w:lang w:eastAsia="en-US"/>
        </w:rPr>
        <w:t xml:space="preserve"> GTH-P-009 en la plataforma compromISO.</w:t>
      </w:r>
    </w:p>
    <w:p w14:paraId="26B7238F">
      <w:pPr>
        <w:spacing w:line="276" w:lineRule="auto"/>
        <w:rPr>
          <w:rFonts w:asciiTheme="minorHAnsi" w:hAnsiTheme="minorHAnsi" w:cstheme="minorHAnsi"/>
          <w:sz w:val="24"/>
          <w:szCs w:val="24"/>
        </w:rPr>
      </w:pPr>
    </w:p>
    <w:p w14:paraId="5ADBFBF1">
      <w:pPr>
        <w:spacing w:line="276" w:lineRule="auto"/>
        <w:rPr>
          <w:rFonts w:asciiTheme="minorHAnsi" w:hAnsiTheme="minorHAnsi" w:cstheme="minorHAnsi"/>
          <w:sz w:val="24"/>
          <w:szCs w:val="24"/>
        </w:rPr>
      </w:pPr>
      <w:commentRangeStart w:id="4"/>
      <w:r>
        <w:rPr>
          <w:rFonts w:asciiTheme="minorHAnsi" w:hAnsiTheme="minorHAnsi" w:cstheme="minorHAnsi"/>
          <w:sz w:val="24"/>
          <w:szCs w:val="24"/>
        </w:rPr>
        <w:t xml:space="preserve">Dicha calificación y clasificación está documentada en una matriz general de identificación de peligros, que la entidad ha documentado para cada centro de trabajo, en este PESV, solo haremos referencia a la matriz de identificación de peligros de la Dirección General. </w:t>
      </w:r>
      <w:commentRangeEnd w:id="4"/>
      <w:r>
        <w:rPr>
          <w:rStyle w:val="13"/>
          <w:rFonts w:eastAsia="Calibri" w:cs="Times New Roman"/>
          <w:lang w:eastAsia="en-US"/>
        </w:rPr>
        <w:commentReference w:id="4"/>
      </w:r>
    </w:p>
    <w:p w14:paraId="1C61D77F">
      <w:pPr>
        <w:rPr>
          <w:rFonts w:asciiTheme="minorHAnsi" w:hAnsiTheme="minorHAnsi" w:cstheme="minorHAnsi"/>
          <w:bCs/>
          <w:sz w:val="24"/>
          <w:szCs w:val="24"/>
          <w:lang w:eastAsia="es-VE"/>
        </w:rPr>
      </w:pPr>
    </w:p>
    <w:p w14:paraId="35C2944D">
      <w:pPr>
        <w:rPr>
          <w:rFonts w:asciiTheme="minorHAnsi" w:hAnsiTheme="minorHAnsi" w:cstheme="minorHAnsi"/>
          <w:bCs/>
          <w:sz w:val="24"/>
          <w:szCs w:val="24"/>
          <w:lang w:val="es-VE" w:eastAsia="es-VE"/>
        </w:rPr>
      </w:pPr>
      <w:r>
        <w:rPr>
          <w:rFonts w:asciiTheme="minorHAnsi" w:hAnsiTheme="minorHAnsi" w:cstheme="minorHAnsi"/>
          <w:bCs/>
          <w:sz w:val="24"/>
          <w:szCs w:val="24"/>
          <w:lang w:val="es-VE" w:eastAsia="es-VE"/>
        </w:rPr>
        <w:t xml:space="preserve">La organización define el procedimiento de evaluación y control de riesgos en seguridad vial, el cual tiene alcance a todos los procesos, funciones y actividades relacionadas con el tránsito vehicular para el cumplimiento de su misión; en este procedimiento se identifica, analiza y valora los riesgos en seguridad vial de la organización, donde se incluyen los desplazamientos laborales, las vías que administra la organización, el entorno próximo de la organización y los trayectos en itinere, con el fin de priorizar e implementar los controles necesarios para prevenir los riesgos de seguridad vial. </w:t>
      </w:r>
    </w:p>
    <w:p w14:paraId="2A4414C1">
      <w:pPr>
        <w:suppressAutoHyphens/>
        <w:spacing w:line="276" w:lineRule="auto"/>
        <w:rPr>
          <w:rFonts w:asciiTheme="minorHAnsi" w:hAnsiTheme="minorHAnsi" w:cstheme="minorHAnsi"/>
          <w:b/>
          <w:bCs/>
          <w:sz w:val="24"/>
          <w:szCs w:val="24"/>
          <w:lang w:eastAsia="es-CO"/>
        </w:rPr>
      </w:pPr>
    </w:p>
    <w:p w14:paraId="7E0A195C">
      <w:pPr>
        <w:pStyle w:val="3"/>
        <w:numPr>
          <w:ilvl w:val="1"/>
          <w:numId w:val="4"/>
        </w:numPr>
        <w:spacing w:after="0" w:line="276" w:lineRule="auto"/>
        <w:ind w:left="540" w:hanging="540"/>
        <w:rPr>
          <w:rFonts w:asciiTheme="minorHAnsi" w:hAnsiTheme="minorHAnsi" w:cstheme="minorHAnsi"/>
          <w:color w:val="auto"/>
          <w:sz w:val="24"/>
        </w:rPr>
      </w:pPr>
      <w:bookmarkStart w:id="64" w:name="_Toc188966785"/>
      <w:r>
        <w:rPr>
          <w:rFonts w:asciiTheme="minorHAnsi" w:hAnsiTheme="minorHAnsi" w:cstheme="minorHAnsi"/>
          <w:color w:val="auto"/>
          <w:sz w:val="24"/>
        </w:rPr>
        <w:t>OBJETIVOS Y METAS DEL PESV</w:t>
      </w:r>
      <w:bookmarkEnd w:id="64"/>
    </w:p>
    <w:p w14:paraId="3AC87871">
      <w:pPr>
        <w:pStyle w:val="4"/>
        <w:numPr>
          <w:ilvl w:val="2"/>
          <w:numId w:val="21"/>
        </w:numPr>
        <w:spacing w:before="0"/>
        <w:rPr>
          <w:rFonts w:asciiTheme="minorHAnsi" w:hAnsiTheme="minorHAnsi" w:cstheme="minorHAnsi"/>
          <w:sz w:val="24"/>
          <w:szCs w:val="24"/>
        </w:rPr>
      </w:pPr>
      <w:bookmarkStart w:id="65" w:name="_Toc496244118"/>
      <w:bookmarkStart w:id="66" w:name="_Toc188966786"/>
      <w:bookmarkStart w:id="67" w:name="_Toc519172490"/>
      <w:r>
        <w:rPr>
          <w:rFonts w:asciiTheme="minorHAnsi" w:hAnsiTheme="minorHAnsi" w:cstheme="minorHAnsi"/>
          <w:sz w:val="24"/>
          <w:szCs w:val="24"/>
        </w:rPr>
        <w:t>OBJETIVO GENERAL</w:t>
      </w:r>
      <w:bookmarkEnd w:id="65"/>
      <w:bookmarkEnd w:id="66"/>
      <w:bookmarkEnd w:id="67"/>
    </w:p>
    <w:p w14:paraId="37C15D12">
      <w:pPr>
        <w:spacing w:line="276" w:lineRule="auto"/>
        <w:rPr>
          <w:rFonts w:asciiTheme="minorHAnsi" w:hAnsiTheme="minorHAnsi" w:cstheme="minorHAnsi"/>
          <w:sz w:val="24"/>
          <w:szCs w:val="24"/>
          <w:lang w:eastAsia="en-US"/>
        </w:rPr>
      </w:pPr>
    </w:p>
    <w:p w14:paraId="101C4319">
      <w:pPr>
        <w:autoSpaceDE w:val="0"/>
        <w:autoSpaceDN w:val="0"/>
        <w:adjustRightInd w:val="0"/>
        <w:spacing w:line="276" w:lineRule="auto"/>
        <w:rPr>
          <w:rFonts w:eastAsia="Calibri" w:asciiTheme="minorHAnsi" w:hAnsiTheme="minorHAnsi" w:cstheme="minorHAnsi"/>
          <w:sz w:val="24"/>
          <w:szCs w:val="24"/>
          <w:lang w:eastAsia="en-US"/>
        </w:rPr>
      </w:pPr>
      <w:r>
        <w:rPr>
          <w:rFonts w:asciiTheme="minorHAnsi" w:hAnsiTheme="minorHAnsi" w:cstheme="minorHAnsi"/>
          <w:kern w:val="1"/>
          <w:sz w:val="24"/>
          <w:szCs w:val="24"/>
        </w:rPr>
        <w:t xml:space="preserve">Planificar, organizar y monitorear los planes de acción que contribuyan a la prevención de los </w:t>
      </w:r>
      <w:r>
        <w:rPr>
          <w:rFonts w:eastAsia="Calibri" w:asciiTheme="minorHAnsi" w:hAnsiTheme="minorHAnsi" w:cstheme="minorHAnsi"/>
          <w:color w:val="00B050"/>
          <w:sz w:val="24"/>
          <w:szCs w:val="24"/>
          <w:lang w:eastAsia="en-US"/>
        </w:rPr>
        <w:t>siniestros viales</w:t>
      </w:r>
      <w:r>
        <w:rPr>
          <w:rFonts w:asciiTheme="minorHAnsi" w:hAnsiTheme="minorHAnsi" w:cstheme="minorHAnsi"/>
          <w:kern w:val="1"/>
          <w:sz w:val="24"/>
          <w:szCs w:val="24"/>
        </w:rPr>
        <w:t xml:space="preserve">, generando cultura de seguridad vial con énfasis en la prevención y el control de los riesgos asociados a las actividades viales desarrolladas por el </w:t>
      </w:r>
      <w:r>
        <w:rPr>
          <w:rFonts w:eastAsia="Calibri" w:asciiTheme="minorHAnsi" w:hAnsiTheme="minorHAnsi" w:cstheme="minorHAnsi"/>
          <w:b/>
          <w:bCs/>
          <w:sz w:val="24"/>
          <w:szCs w:val="24"/>
          <w:lang w:eastAsia="en-US"/>
        </w:rPr>
        <w:t xml:space="preserve">SERVICIO NACIONAL DE APRENDIZAJE SENA, </w:t>
      </w:r>
      <w:r>
        <w:rPr>
          <w:rFonts w:asciiTheme="minorHAnsi" w:hAnsiTheme="minorHAnsi" w:cstheme="minorHAnsi"/>
          <w:sz w:val="24"/>
          <w:szCs w:val="24"/>
          <w:lang w:eastAsia="es-CO"/>
        </w:rPr>
        <w:t xml:space="preserve">estableciendo estrategias y mecanismos de promoción y prevención que </w:t>
      </w:r>
      <w:r>
        <w:rPr>
          <w:rFonts w:eastAsia="Calibri" w:asciiTheme="minorHAnsi" w:hAnsiTheme="minorHAnsi" w:cstheme="minorHAnsi"/>
          <w:sz w:val="24"/>
          <w:szCs w:val="24"/>
          <w:lang w:eastAsia="en-US"/>
        </w:rPr>
        <w:t>faciliten la gestión, al definir las áreas y las partes involucradas, responsables y mecanismos de evaluación y seguimiento, en función al cumplimiento de las normas vigentes y los lineamientos establecidos en la entidad.</w:t>
      </w:r>
    </w:p>
    <w:p w14:paraId="46F0111B">
      <w:pPr>
        <w:autoSpaceDE w:val="0"/>
        <w:autoSpaceDN w:val="0"/>
        <w:adjustRightInd w:val="0"/>
        <w:spacing w:line="276" w:lineRule="auto"/>
        <w:rPr>
          <w:rFonts w:eastAsia="Calibri" w:asciiTheme="minorHAnsi" w:hAnsiTheme="minorHAnsi" w:cstheme="minorHAnsi"/>
          <w:sz w:val="24"/>
          <w:szCs w:val="24"/>
          <w:lang w:eastAsia="en-US"/>
        </w:rPr>
      </w:pPr>
    </w:p>
    <w:p w14:paraId="645E45B6">
      <w:pPr>
        <w:pStyle w:val="4"/>
        <w:numPr>
          <w:ilvl w:val="2"/>
          <w:numId w:val="21"/>
        </w:numPr>
        <w:spacing w:before="0"/>
        <w:rPr>
          <w:rFonts w:asciiTheme="minorHAnsi" w:hAnsiTheme="minorHAnsi" w:cstheme="minorHAnsi"/>
          <w:sz w:val="24"/>
          <w:szCs w:val="24"/>
        </w:rPr>
      </w:pPr>
      <w:bookmarkStart w:id="68" w:name="_Toc188966787"/>
      <w:bookmarkStart w:id="69" w:name="_Toc519172491"/>
      <w:bookmarkStart w:id="70" w:name="_Toc496244119"/>
      <w:r>
        <w:rPr>
          <w:rFonts w:asciiTheme="minorHAnsi" w:hAnsiTheme="minorHAnsi" w:cstheme="minorHAnsi"/>
          <w:sz w:val="24"/>
          <w:szCs w:val="24"/>
        </w:rPr>
        <w:t>OBJETIVOS ESPECÍFICOS</w:t>
      </w:r>
      <w:bookmarkEnd w:id="68"/>
      <w:bookmarkEnd w:id="69"/>
      <w:bookmarkEnd w:id="70"/>
    </w:p>
    <w:p w14:paraId="0FA53D06">
      <w:pPr>
        <w:spacing w:line="276" w:lineRule="auto"/>
        <w:rPr>
          <w:rFonts w:eastAsia="font285" w:asciiTheme="minorHAnsi" w:hAnsiTheme="minorHAnsi" w:cstheme="minorHAnsi"/>
          <w:sz w:val="24"/>
          <w:szCs w:val="24"/>
          <w:lang w:eastAsia="en-US"/>
        </w:rPr>
      </w:pPr>
    </w:p>
    <w:p w14:paraId="5122C3DB">
      <w:pPr>
        <w:numPr>
          <w:ilvl w:val="0"/>
          <w:numId w:val="22"/>
        </w:numPr>
        <w:tabs>
          <w:tab w:val="left" w:pos="540"/>
          <w:tab w:val="left" w:pos="907"/>
          <w:tab w:val="left" w:pos="1474"/>
          <w:tab w:val="left" w:pos="2835"/>
          <w:tab w:val="left" w:pos="5670"/>
          <w:tab w:val="clear" w:pos="720"/>
        </w:tabs>
        <w:suppressAutoHyphens/>
        <w:spacing w:line="276" w:lineRule="auto"/>
        <w:ind w:left="540" w:right="49" w:hanging="540"/>
        <w:rPr>
          <w:rFonts w:asciiTheme="minorHAnsi" w:hAnsiTheme="minorHAnsi" w:cstheme="minorHAnsi"/>
          <w:kern w:val="1"/>
          <w:sz w:val="24"/>
          <w:szCs w:val="24"/>
        </w:rPr>
      </w:pPr>
      <w:r>
        <w:rPr>
          <w:rFonts w:asciiTheme="minorHAnsi" w:hAnsiTheme="minorHAnsi" w:cstheme="minorHAnsi"/>
          <w:kern w:val="1"/>
          <w:sz w:val="24"/>
          <w:szCs w:val="24"/>
          <w:lang w:val="es-VE"/>
        </w:rPr>
        <w:t xml:space="preserve">Dar cumplimiento a los planes de acción viales </w:t>
      </w:r>
      <w:r>
        <w:rPr>
          <w:rFonts w:asciiTheme="minorHAnsi" w:hAnsiTheme="minorHAnsi" w:cstheme="minorHAnsi"/>
          <w:color w:val="00B050"/>
          <w:kern w:val="1"/>
          <w:sz w:val="24"/>
          <w:szCs w:val="24"/>
          <w:lang w:val="es-VE"/>
        </w:rPr>
        <w:t xml:space="preserve">y estrategias </w:t>
      </w:r>
      <w:r>
        <w:rPr>
          <w:rFonts w:asciiTheme="minorHAnsi" w:hAnsiTheme="minorHAnsi" w:cstheme="minorHAnsi"/>
          <w:kern w:val="1"/>
          <w:sz w:val="24"/>
          <w:szCs w:val="24"/>
          <w:lang w:val="es-VE"/>
        </w:rPr>
        <w:t>definidos según el marco de referencia de la política nacional de seguridad vial, para garantizar el cumplimiento del Plan Estratégico de Seguridad Vial, mediante el ciclo PHVA.</w:t>
      </w:r>
    </w:p>
    <w:p w14:paraId="3DC076A2">
      <w:pPr>
        <w:numPr>
          <w:ilvl w:val="0"/>
          <w:numId w:val="22"/>
        </w:numPr>
        <w:tabs>
          <w:tab w:val="left" w:pos="540"/>
          <w:tab w:val="left" w:pos="907"/>
          <w:tab w:val="left" w:pos="1474"/>
          <w:tab w:val="left" w:pos="2835"/>
          <w:tab w:val="left" w:pos="5670"/>
          <w:tab w:val="clear" w:pos="720"/>
        </w:tabs>
        <w:suppressAutoHyphens/>
        <w:spacing w:line="276" w:lineRule="auto"/>
        <w:ind w:left="540" w:right="49" w:hanging="540"/>
        <w:rPr>
          <w:rFonts w:asciiTheme="minorHAnsi" w:hAnsiTheme="minorHAnsi" w:cstheme="minorHAnsi"/>
          <w:kern w:val="1"/>
          <w:sz w:val="24"/>
          <w:szCs w:val="24"/>
        </w:rPr>
      </w:pPr>
      <w:r>
        <w:rPr>
          <w:rFonts w:asciiTheme="minorHAnsi" w:hAnsiTheme="minorHAnsi" w:cstheme="minorHAnsi"/>
          <w:kern w:val="1"/>
          <w:sz w:val="24"/>
          <w:szCs w:val="24"/>
          <w:lang w:val="es-VE"/>
        </w:rPr>
        <w:t>Sensibilizar a los funcionarios y contratistas en los riesgos viales, según su rol en la vía, con énfasis en aquellos riesgos propios de la entidad.</w:t>
      </w:r>
    </w:p>
    <w:p w14:paraId="1B940909">
      <w:pPr>
        <w:numPr>
          <w:ilvl w:val="0"/>
          <w:numId w:val="22"/>
        </w:numPr>
        <w:tabs>
          <w:tab w:val="left" w:pos="540"/>
          <w:tab w:val="left" w:pos="907"/>
          <w:tab w:val="left" w:pos="1474"/>
          <w:tab w:val="left" w:pos="2835"/>
          <w:tab w:val="left" w:pos="5670"/>
          <w:tab w:val="clear" w:pos="720"/>
        </w:tabs>
        <w:suppressAutoHyphens/>
        <w:spacing w:line="276" w:lineRule="auto"/>
        <w:ind w:left="540" w:right="49" w:hanging="540"/>
        <w:rPr>
          <w:rFonts w:asciiTheme="minorHAnsi" w:hAnsiTheme="minorHAnsi" w:cstheme="minorHAnsi"/>
          <w:kern w:val="1"/>
          <w:sz w:val="24"/>
          <w:szCs w:val="24"/>
        </w:rPr>
      </w:pPr>
      <w:r>
        <w:rPr>
          <w:rFonts w:asciiTheme="minorHAnsi" w:hAnsiTheme="minorHAnsi" w:cstheme="minorHAnsi"/>
          <w:kern w:val="1"/>
          <w:sz w:val="24"/>
          <w:szCs w:val="24"/>
          <w:lang w:val="es-VE"/>
        </w:rPr>
        <w:t>Asegurar que los vehículos que se usan como herramienta de trabajo cuenten con controles preventivos específicos para garantizar su mantenimiento y correcto funcionamiento.</w:t>
      </w:r>
    </w:p>
    <w:p w14:paraId="192B4C21">
      <w:pPr>
        <w:numPr>
          <w:ilvl w:val="0"/>
          <w:numId w:val="22"/>
        </w:numPr>
        <w:tabs>
          <w:tab w:val="left" w:pos="540"/>
          <w:tab w:val="left" w:pos="907"/>
          <w:tab w:val="left" w:pos="1474"/>
          <w:tab w:val="left" w:pos="2835"/>
          <w:tab w:val="left" w:pos="5670"/>
          <w:tab w:val="clear" w:pos="720"/>
        </w:tabs>
        <w:suppressAutoHyphens/>
        <w:spacing w:line="276" w:lineRule="auto"/>
        <w:ind w:left="540" w:right="49" w:hanging="540"/>
        <w:rPr>
          <w:rFonts w:asciiTheme="minorHAnsi" w:hAnsiTheme="minorHAnsi" w:cstheme="minorHAnsi"/>
          <w:kern w:val="1"/>
          <w:sz w:val="24"/>
          <w:szCs w:val="24"/>
        </w:rPr>
      </w:pPr>
      <w:r>
        <w:rPr>
          <w:rFonts w:asciiTheme="minorHAnsi" w:hAnsiTheme="minorHAnsi" w:cstheme="minorHAnsi"/>
          <w:kern w:val="1"/>
          <w:sz w:val="24"/>
          <w:szCs w:val="24"/>
          <w:lang w:val="es-VE"/>
        </w:rPr>
        <w:t xml:space="preserve">Disminuir la probabilidad de ocurrencia de </w:t>
      </w:r>
      <w:r>
        <w:rPr>
          <w:rFonts w:asciiTheme="minorHAnsi" w:hAnsiTheme="minorHAnsi" w:cstheme="minorHAnsi"/>
          <w:color w:val="00B050"/>
          <w:kern w:val="1"/>
          <w:sz w:val="24"/>
          <w:szCs w:val="24"/>
          <w:lang w:val="es-VE"/>
        </w:rPr>
        <w:t xml:space="preserve">siniestros viales </w:t>
      </w:r>
      <w:r>
        <w:rPr>
          <w:rFonts w:asciiTheme="minorHAnsi" w:hAnsiTheme="minorHAnsi" w:cstheme="minorHAnsi"/>
          <w:kern w:val="1"/>
          <w:sz w:val="24"/>
          <w:szCs w:val="24"/>
          <w:lang w:val="es-VE"/>
        </w:rPr>
        <w:t>que puedan afectar la integridad física, mental y social de los funcionarios, trabajadores oficiales y contratistas directos e indirectos.</w:t>
      </w:r>
    </w:p>
    <w:p w14:paraId="19AD99FC">
      <w:pPr>
        <w:suppressAutoHyphens/>
        <w:spacing w:line="276" w:lineRule="auto"/>
        <w:rPr>
          <w:rFonts w:asciiTheme="minorHAnsi" w:hAnsiTheme="minorHAnsi" w:cstheme="minorHAnsi"/>
          <w:b/>
          <w:bCs/>
          <w:sz w:val="24"/>
          <w:szCs w:val="24"/>
          <w:lang w:eastAsia="es-CO"/>
        </w:rPr>
      </w:pPr>
    </w:p>
    <w:p w14:paraId="042C8A5E">
      <w:pPr>
        <w:pStyle w:val="3"/>
        <w:numPr>
          <w:ilvl w:val="1"/>
          <w:numId w:val="4"/>
        </w:numPr>
        <w:spacing w:after="0" w:line="276" w:lineRule="auto"/>
        <w:ind w:left="540" w:hanging="540"/>
        <w:rPr>
          <w:rFonts w:asciiTheme="minorHAnsi" w:hAnsiTheme="minorHAnsi" w:cstheme="minorHAnsi"/>
          <w:color w:val="auto"/>
          <w:sz w:val="24"/>
        </w:rPr>
      </w:pPr>
      <w:bookmarkStart w:id="71" w:name="_Toc188966788"/>
      <w:r>
        <w:rPr>
          <w:rFonts w:asciiTheme="minorHAnsi" w:hAnsiTheme="minorHAnsi" w:cstheme="minorHAnsi"/>
          <w:color w:val="auto"/>
          <w:sz w:val="24"/>
        </w:rPr>
        <w:t>PROGRAMAS DE GESTIÓN DE RIESGO CRITICO</w:t>
      </w:r>
      <w:bookmarkEnd w:id="71"/>
    </w:p>
    <w:p w14:paraId="5EC56483">
      <w:pPr>
        <w:rPr>
          <w:rFonts w:eastAsia="Calibri" w:asciiTheme="minorHAnsi" w:hAnsiTheme="minorHAnsi" w:cstheme="minorHAnsi"/>
          <w:color w:val="00B050"/>
          <w:sz w:val="24"/>
          <w:szCs w:val="24"/>
          <w:lang w:eastAsia="en-US"/>
        </w:rPr>
      </w:pPr>
      <w:r>
        <w:rPr>
          <w:rFonts w:eastAsia="Calibri" w:asciiTheme="minorHAnsi" w:hAnsiTheme="minorHAnsi" w:cstheme="minorHAnsi"/>
          <w:color w:val="00B050"/>
          <w:sz w:val="24"/>
          <w:szCs w:val="24"/>
          <w:lang w:eastAsia="en-US"/>
        </w:rPr>
        <w:t xml:space="preserve">La organización establece programas de gestión de riesgos críticos los cuales contienen los lineamientos y factores de desempeño para tratar (eliminar o sustituir o reducir o controlar) y manejar los riesgos viales identificados. </w:t>
      </w:r>
    </w:p>
    <w:p w14:paraId="55ADCDEE">
      <w:pPr>
        <w:rPr>
          <w:rFonts w:eastAsia="Calibri" w:asciiTheme="minorHAnsi" w:hAnsiTheme="minorHAnsi" w:cstheme="minorHAnsi"/>
          <w:color w:val="00B050"/>
          <w:sz w:val="24"/>
          <w:szCs w:val="24"/>
          <w:lang w:eastAsia="en-US"/>
        </w:rPr>
      </w:pPr>
    </w:p>
    <w:p w14:paraId="07C20339">
      <w:pPr>
        <w:rPr>
          <w:rFonts w:eastAsia="Calibri" w:asciiTheme="minorHAnsi" w:hAnsiTheme="minorHAnsi" w:cstheme="minorHAnsi"/>
          <w:color w:val="00B050"/>
          <w:sz w:val="24"/>
          <w:szCs w:val="24"/>
          <w:lang w:eastAsia="en-US"/>
        </w:rPr>
      </w:pPr>
      <w:r>
        <w:rPr>
          <w:rFonts w:eastAsia="Calibri" w:asciiTheme="minorHAnsi" w:hAnsiTheme="minorHAnsi" w:cstheme="minorHAnsi"/>
          <w:color w:val="00B050"/>
          <w:sz w:val="24"/>
          <w:szCs w:val="24"/>
          <w:lang w:eastAsia="en-US"/>
        </w:rPr>
        <w:t>Los programas de gestión de riesgo vial de la organización, son los siguientes:</w:t>
      </w:r>
    </w:p>
    <w:p w14:paraId="39025A6E">
      <w:pPr>
        <w:rPr>
          <w:rFonts w:eastAsia="Calibri" w:asciiTheme="minorHAnsi" w:hAnsiTheme="minorHAnsi" w:cstheme="minorHAnsi"/>
          <w:color w:val="00B050"/>
          <w:sz w:val="24"/>
          <w:szCs w:val="24"/>
          <w:lang w:eastAsia="en-US"/>
        </w:rPr>
      </w:pPr>
    </w:p>
    <w:p w14:paraId="2A53F4B2">
      <w:pPr>
        <w:numPr>
          <w:ilvl w:val="0"/>
          <w:numId w:val="23"/>
        </w:numPr>
        <w:pBdr>
          <w:top w:val="none" w:color="auto" w:sz="0" w:space="0"/>
          <w:left w:val="none" w:color="auto" w:sz="0" w:space="0"/>
          <w:bottom w:val="none" w:color="auto" w:sz="0" w:space="0"/>
          <w:right w:val="none" w:color="auto" w:sz="0" w:space="0"/>
          <w:between w:val="none" w:color="auto" w:sz="0" w:space="0"/>
        </w:pBdr>
        <w:rPr>
          <w:rFonts w:eastAsia="Calibri" w:asciiTheme="minorHAnsi" w:hAnsiTheme="minorHAnsi" w:cstheme="minorHAnsi"/>
          <w:color w:val="00B050"/>
          <w:sz w:val="24"/>
          <w:szCs w:val="24"/>
          <w:lang w:eastAsia="en-US"/>
        </w:rPr>
      </w:pPr>
      <w:r>
        <w:rPr>
          <w:rFonts w:eastAsia="Calibri" w:asciiTheme="minorHAnsi" w:hAnsiTheme="minorHAnsi" w:cstheme="minorHAnsi"/>
          <w:color w:val="00B050"/>
          <w:sz w:val="24"/>
          <w:szCs w:val="24"/>
          <w:lang w:eastAsia="en-US"/>
        </w:rPr>
        <w:t>Programa de gestión de la velocidad segura</w:t>
      </w:r>
    </w:p>
    <w:p w14:paraId="71DF161F">
      <w:pPr>
        <w:numPr>
          <w:ilvl w:val="0"/>
          <w:numId w:val="23"/>
        </w:numPr>
        <w:pBdr>
          <w:top w:val="none" w:color="auto" w:sz="0" w:space="0"/>
          <w:left w:val="none" w:color="auto" w:sz="0" w:space="0"/>
          <w:bottom w:val="none" w:color="auto" w:sz="0" w:space="0"/>
          <w:right w:val="none" w:color="auto" w:sz="0" w:space="0"/>
          <w:between w:val="none" w:color="auto" w:sz="0" w:space="0"/>
        </w:pBdr>
        <w:rPr>
          <w:rFonts w:eastAsia="Calibri" w:asciiTheme="minorHAnsi" w:hAnsiTheme="minorHAnsi" w:cstheme="minorHAnsi"/>
          <w:color w:val="00B050"/>
          <w:sz w:val="24"/>
          <w:szCs w:val="24"/>
          <w:lang w:eastAsia="en-US"/>
        </w:rPr>
      </w:pPr>
      <w:bookmarkStart w:id="72" w:name="_heading=h.3whwml4" w:colFirst="0" w:colLast="0"/>
      <w:bookmarkEnd w:id="72"/>
      <w:r>
        <w:rPr>
          <w:rFonts w:eastAsia="Calibri" w:asciiTheme="minorHAnsi" w:hAnsiTheme="minorHAnsi" w:cstheme="minorHAnsi"/>
          <w:color w:val="00B050"/>
          <w:sz w:val="24"/>
          <w:szCs w:val="24"/>
          <w:lang w:eastAsia="en-US"/>
        </w:rPr>
        <w:t>Programa de prevención de la fatiga</w:t>
      </w:r>
    </w:p>
    <w:p w14:paraId="16608BB7">
      <w:pPr>
        <w:numPr>
          <w:ilvl w:val="0"/>
          <w:numId w:val="23"/>
        </w:numPr>
        <w:pBdr>
          <w:top w:val="none" w:color="auto" w:sz="0" w:space="0"/>
          <w:left w:val="none" w:color="auto" w:sz="0" w:space="0"/>
          <w:bottom w:val="none" w:color="auto" w:sz="0" w:space="0"/>
          <w:right w:val="none" w:color="auto" w:sz="0" w:space="0"/>
          <w:between w:val="none" w:color="auto" w:sz="0" w:space="0"/>
        </w:pBdr>
        <w:rPr>
          <w:rFonts w:eastAsia="Calibri" w:asciiTheme="minorHAnsi" w:hAnsiTheme="minorHAnsi" w:cstheme="minorHAnsi"/>
          <w:color w:val="00B050"/>
          <w:sz w:val="24"/>
          <w:szCs w:val="24"/>
          <w:lang w:eastAsia="en-US"/>
        </w:rPr>
      </w:pPr>
      <w:r>
        <w:rPr>
          <w:rFonts w:eastAsia="Calibri" w:asciiTheme="minorHAnsi" w:hAnsiTheme="minorHAnsi" w:cstheme="minorHAnsi"/>
          <w:color w:val="00B050"/>
          <w:sz w:val="24"/>
          <w:szCs w:val="24"/>
          <w:lang w:eastAsia="en-US"/>
        </w:rPr>
        <w:t>Programa de prevención de la distracción</w:t>
      </w:r>
    </w:p>
    <w:p w14:paraId="10DCA70D">
      <w:pPr>
        <w:numPr>
          <w:ilvl w:val="0"/>
          <w:numId w:val="23"/>
        </w:numPr>
        <w:pBdr>
          <w:top w:val="none" w:color="auto" w:sz="0" w:space="0"/>
          <w:left w:val="none" w:color="auto" w:sz="0" w:space="0"/>
          <w:bottom w:val="none" w:color="auto" w:sz="0" w:space="0"/>
          <w:right w:val="none" w:color="auto" w:sz="0" w:space="0"/>
          <w:between w:val="none" w:color="auto" w:sz="0" w:space="0"/>
        </w:pBdr>
        <w:rPr>
          <w:rFonts w:eastAsia="Calibri" w:asciiTheme="minorHAnsi" w:hAnsiTheme="minorHAnsi" w:cstheme="minorHAnsi"/>
          <w:color w:val="00B050"/>
          <w:sz w:val="24"/>
          <w:szCs w:val="24"/>
          <w:lang w:eastAsia="en-US"/>
        </w:rPr>
      </w:pPr>
      <w:bookmarkStart w:id="73" w:name="_heading=h.2bn6wsx" w:colFirst="0" w:colLast="0"/>
      <w:bookmarkEnd w:id="73"/>
      <w:r>
        <w:rPr>
          <w:rFonts w:eastAsia="Calibri" w:asciiTheme="minorHAnsi" w:hAnsiTheme="minorHAnsi" w:cstheme="minorHAnsi"/>
          <w:color w:val="00B050"/>
          <w:sz w:val="24"/>
          <w:szCs w:val="24"/>
          <w:lang w:eastAsia="en-US"/>
        </w:rPr>
        <w:t>Programa de cero tolerancia a la conducción bajo los efectos del alcohol y sustancias psicoactivas.</w:t>
      </w:r>
    </w:p>
    <w:p w14:paraId="7C0160B5">
      <w:pPr>
        <w:numPr>
          <w:ilvl w:val="0"/>
          <w:numId w:val="23"/>
        </w:numPr>
        <w:pBdr>
          <w:top w:val="none" w:color="auto" w:sz="0" w:space="0"/>
          <w:left w:val="none" w:color="auto" w:sz="0" w:space="0"/>
          <w:bottom w:val="none" w:color="auto" w:sz="0" w:space="0"/>
          <w:right w:val="none" w:color="auto" w:sz="0" w:space="0"/>
          <w:between w:val="none" w:color="auto" w:sz="0" w:space="0"/>
        </w:pBdr>
        <w:rPr>
          <w:rFonts w:eastAsia="Calibri" w:asciiTheme="minorHAnsi" w:hAnsiTheme="minorHAnsi" w:cstheme="minorHAnsi"/>
          <w:color w:val="00B050"/>
          <w:sz w:val="24"/>
          <w:szCs w:val="24"/>
          <w:lang w:eastAsia="en-US"/>
        </w:rPr>
      </w:pPr>
      <w:r>
        <w:rPr>
          <w:rFonts w:eastAsia="Calibri" w:asciiTheme="minorHAnsi" w:hAnsiTheme="minorHAnsi" w:cstheme="minorHAnsi"/>
          <w:color w:val="00B050"/>
          <w:sz w:val="24"/>
          <w:szCs w:val="24"/>
          <w:lang w:eastAsia="en-US"/>
        </w:rPr>
        <w:t xml:space="preserve">Programa para la protección de actores viales vulnerables </w:t>
      </w:r>
    </w:p>
    <w:p w14:paraId="5BE7E86D">
      <w:pPr>
        <w:rPr>
          <w:rFonts w:eastAsia="Calibri" w:asciiTheme="minorHAnsi" w:hAnsiTheme="minorHAnsi" w:cstheme="minorHAnsi"/>
          <w:color w:val="00B050"/>
          <w:sz w:val="24"/>
          <w:szCs w:val="24"/>
          <w:lang w:eastAsia="en-US"/>
        </w:rPr>
      </w:pPr>
    </w:p>
    <w:p w14:paraId="6ACC945B">
      <w:pPr>
        <w:pBdr>
          <w:top w:val="none" w:color="auto" w:sz="0" w:space="0"/>
          <w:left w:val="none" w:color="auto" w:sz="0" w:space="0"/>
          <w:bottom w:val="none" w:color="auto" w:sz="0" w:space="0"/>
          <w:right w:val="none" w:color="auto" w:sz="0" w:space="0"/>
          <w:between w:val="none" w:color="auto" w:sz="0" w:space="0"/>
        </w:pBdr>
        <w:rPr>
          <w:rFonts w:eastAsia="Calibri" w:asciiTheme="minorHAnsi" w:hAnsiTheme="minorHAnsi" w:cstheme="minorHAnsi"/>
          <w:color w:val="00B050"/>
          <w:sz w:val="24"/>
          <w:szCs w:val="24"/>
          <w:lang w:eastAsia="en-US"/>
        </w:rPr>
      </w:pPr>
      <w:r>
        <w:rPr>
          <w:rFonts w:eastAsia="Calibri" w:asciiTheme="minorHAnsi" w:hAnsiTheme="minorHAnsi" w:cstheme="minorHAnsi"/>
          <w:color w:val="00B050"/>
          <w:sz w:val="24"/>
          <w:szCs w:val="24"/>
          <w:lang w:eastAsia="en-US"/>
        </w:rPr>
        <w:t>Estos programas de gestión de riesgo vial serán analizados como mínimo de manera trimestral, divulgados a todos los colaboradores de la organización y actualizados de manera anual.</w:t>
      </w:r>
    </w:p>
    <w:p w14:paraId="55212E1C">
      <w:pPr>
        <w:suppressAutoHyphens/>
        <w:spacing w:line="276" w:lineRule="auto"/>
        <w:rPr>
          <w:rFonts w:asciiTheme="minorHAnsi" w:hAnsiTheme="minorHAnsi" w:cstheme="minorHAnsi"/>
          <w:sz w:val="24"/>
          <w:szCs w:val="24"/>
          <w:lang w:eastAsia="es-CO"/>
        </w:rPr>
      </w:pPr>
    </w:p>
    <w:p w14:paraId="42CFE596">
      <w:pPr>
        <w:pStyle w:val="4"/>
        <w:numPr>
          <w:ilvl w:val="2"/>
          <w:numId w:val="24"/>
        </w:numPr>
        <w:spacing w:before="0"/>
        <w:rPr>
          <w:rFonts w:asciiTheme="minorHAnsi" w:hAnsiTheme="minorHAnsi" w:cstheme="minorHAnsi"/>
          <w:sz w:val="24"/>
          <w:szCs w:val="24"/>
        </w:rPr>
      </w:pPr>
      <w:commentRangeStart w:id="5"/>
      <w:bookmarkStart w:id="74" w:name="_Toc497841892"/>
      <w:bookmarkStart w:id="75" w:name="_Toc485297485"/>
      <w:bookmarkStart w:id="76" w:name="_Toc519172536"/>
      <w:bookmarkStart w:id="77" w:name="_Toc188966789"/>
      <w:r>
        <w:rPr>
          <w:rFonts w:asciiTheme="minorHAnsi" w:hAnsiTheme="minorHAnsi" w:cstheme="minorHAnsi"/>
          <w:sz w:val="24"/>
          <w:szCs w:val="24"/>
        </w:rPr>
        <w:t>POLÍTICAS DE REGULACIÓN DE SEGURIDAD VIAL</w:t>
      </w:r>
      <w:bookmarkEnd w:id="74"/>
      <w:bookmarkEnd w:id="75"/>
      <w:bookmarkEnd w:id="76"/>
      <w:commentRangeEnd w:id="5"/>
      <w:r>
        <w:rPr>
          <w:rFonts w:asciiTheme="minorHAnsi" w:hAnsiTheme="minorHAnsi" w:cstheme="minorHAnsi"/>
          <w:sz w:val="24"/>
          <w:szCs w:val="24"/>
        </w:rPr>
        <w:commentReference w:id="5"/>
      </w:r>
      <w:bookmarkEnd w:id="77"/>
    </w:p>
    <w:p w14:paraId="3CA77945">
      <w:pPr>
        <w:spacing w:line="276" w:lineRule="auto"/>
        <w:rPr>
          <w:rFonts w:asciiTheme="minorHAnsi" w:hAnsiTheme="minorHAnsi" w:cstheme="minorHAnsi"/>
          <w:sz w:val="24"/>
          <w:szCs w:val="24"/>
        </w:rPr>
      </w:pPr>
    </w:p>
    <w:p w14:paraId="7FE4145E">
      <w:pPr>
        <w:spacing w:line="276" w:lineRule="auto"/>
        <w:rPr>
          <w:rFonts w:asciiTheme="minorHAnsi" w:hAnsiTheme="minorHAnsi" w:cstheme="minorHAnsi"/>
          <w:sz w:val="24"/>
          <w:szCs w:val="24"/>
        </w:rPr>
      </w:pPr>
      <w:r>
        <w:rPr>
          <w:rFonts w:asciiTheme="minorHAnsi" w:hAnsiTheme="minorHAnsi" w:cstheme="minorHAnsi"/>
          <w:sz w:val="24"/>
          <w:szCs w:val="24"/>
        </w:rPr>
        <w:t>El SENA cuenta con una Política de Seguridad y Salud en el Trabajo y una política de seguridad vial, la cual contempla el control de horas de conducción y descanso, regulación de la velocidad, uso del cinturón de seguridad, uso indebido de equipos de comunicaciones móviles mientras se conduce y uso de elementos de protección personal.</w:t>
      </w:r>
    </w:p>
    <w:p w14:paraId="6BEE6537">
      <w:pPr>
        <w:spacing w:line="276" w:lineRule="auto"/>
        <w:rPr>
          <w:rFonts w:asciiTheme="minorHAnsi" w:hAnsiTheme="minorHAnsi" w:cstheme="minorHAnsi"/>
          <w:sz w:val="24"/>
          <w:szCs w:val="24"/>
          <w:lang w:eastAsia="en-US"/>
        </w:rPr>
      </w:pPr>
    </w:p>
    <w:p w14:paraId="33ADCD9E">
      <w:pPr>
        <w:spacing w:line="276" w:lineRule="auto"/>
        <w:rPr>
          <w:rFonts w:asciiTheme="minorHAnsi" w:hAnsiTheme="minorHAnsi" w:cstheme="minorHAnsi"/>
          <w:sz w:val="24"/>
          <w:szCs w:val="24"/>
        </w:rPr>
      </w:pPr>
      <w:r>
        <w:rPr>
          <w:rFonts w:asciiTheme="minorHAnsi" w:hAnsiTheme="minorHAnsi" w:cstheme="minorHAnsi"/>
          <w:sz w:val="24"/>
          <w:szCs w:val="24"/>
        </w:rPr>
        <w:t>Adicionalmente se dispone de los siguientes lineamientos:</w:t>
      </w:r>
    </w:p>
    <w:p w14:paraId="2DB5E9C3">
      <w:pPr>
        <w:spacing w:line="276" w:lineRule="auto"/>
        <w:rPr>
          <w:rFonts w:asciiTheme="minorHAnsi" w:hAnsiTheme="minorHAnsi" w:cstheme="minorHAnsi"/>
          <w:sz w:val="24"/>
          <w:szCs w:val="24"/>
        </w:rPr>
      </w:pPr>
    </w:p>
    <w:p w14:paraId="36D59CA1">
      <w:pPr>
        <w:pStyle w:val="5"/>
        <w:numPr>
          <w:ilvl w:val="0"/>
          <w:numId w:val="0"/>
        </w:numPr>
        <w:spacing w:before="0"/>
        <w:ind w:left="864" w:hanging="864"/>
        <w:rPr>
          <w:rFonts w:asciiTheme="minorHAnsi" w:hAnsiTheme="minorHAnsi" w:cstheme="minorHAnsi"/>
          <w:sz w:val="24"/>
          <w:szCs w:val="24"/>
        </w:rPr>
      </w:pPr>
      <w:r>
        <w:rPr>
          <w:rFonts w:asciiTheme="minorHAnsi" w:hAnsiTheme="minorHAnsi" w:cstheme="minorHAnsi"/>
          <w:sz w:val="24"/>
          <w:szCs w:val="24"/>
        </w:rPr>
        <w:t>2.8.1.1. Control de alcohol y drogas</w:t>
      </w:r>
    </w:p>
    <w:p w14:paraId="3BE6AE92">
      <w:pPr>
        <w:spacing w:line="276" w:lineRule="auto"/>
        <w:rPr>
          <w:rFonts w:asciiTheme="minorHAnsi" w:hAnsiTheme="minorHAnsi" w:cstheme="minorHAnsi"/>
          <w:sz w:val="24"/>
          <w:szCs w:val="24"/>
          <w:lang w:eastAsia="es-CO"/>
        </w:rPr>
      </w:pPr>
    </w:p>
    <w:p w14:paraId="1BC3E7F7">
      <w:pPr>
        <w:autoSpaceDE w:val="0"/>
        <w:autoSpaceDN w:val="0"/>
        <w:adjustRightInd w:val="0"/>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Entendiendo que el consumo de alcohol y/o drogas es un factor que aumenta el riesgo en la acción y en las condiciones de conducción de vehículos, el SENA establece dentro del marco de la Ley 1696 de diciembre 19 de 2013 "Por medio de la cual se dictan disposiciones penales y administrativas para sancionar la conducción bajo el influjo del alcohol u otras sustancias psicoactivas”, la política de Prevención del tabaco, Alcohol y Drogas que hará parte del programa de prevención al consumo de sustancias psicoactivas (SPA) “consumo respeto”, que desde el Grupo de seguridad y salud en el Trabajo estará bajo los lineamientos establecidos del líder nacional de Psicólogos, la política será divulgada y socializada de acuerdo a lo que se establece en el plan de trabajo .</w:t>
      </w:r>
    </w:p>
    <w:p w14:paraId="45A6A8CD">
      <w:pPr>
        <w:autoSpaceDE w:val="0"/>
        <w:autoSpaceDN w:val="0"/>
        <w:adjustRightInd w:val="0"/>
        <w:spacing w:line="276" w:lineRule="auto"/>
        <w:rPr>
          <w:rFonts w:eastAsia="Calibri" w:asciiTheme="minorHAnsi" w:hAnsiTheme="minorHAnsi" w:cstheme="minorHAnsi"/>
          <w:sz w:val="24"/>
          <w:szCs w:val="24"/>
          <w:lang w:eastAsia="en-US"/>
        </w:rPr>
      </w:pPr>
    </w:p>
    <w:p w14:paraId="25A6918C">
      <w:pPr>
        <w:pStyle w:val="5"/>
        <w:numPr>
          <w:ilvl w:val="3"/>
          <w:numId w:val="25"/>
        </w:numPr>
        <w:spacing w:before="0"/>
        <w:rPr>
          <w:rFonts w:eastAsia="Calibri" w:asciiTheme="minorHAnsi" w:hAnsiTheme="minorHAnsi" w:cstheme="minorHAnsi"/>
          <w:sz w:val="24"/>
          <w:szCs w:val="24"/>
        </w:rPr>
      </w:pPr>
      <w:r>
        <w:rPr>
          <w:rFonts w:eastAsia="Calibri" w:asciiTheme="minorHAnsi" w:hAnsiTheme="minorHAnsi" w:cstheme="minorHAnsi"/>
          <w:sz w:val="24"/>
          <w:szCs w:val="24"/>
        </w:rPr>
        <w:t>Regulación de horas de conducción y descanso</w:t>
      </w:r>
    </w:p>
    <w:p w14:paraId="022A6FDF">
      <w:pPr>
        <w:spacing w:line="276" w:lineRule="auto"/>
        <w:rPr>
          <w:rFonts w:asciiTheme="minorHAnsi" w:hAnsiTheme="minorHAnsi" w:cstheme="minorHAnsi"/>
          <w:sz w:val="24"/>
          <w:szCs w:val="24"/>
          <w:lang w:eastAsia="es-CO"/>
        </w:rPr>
      </w:pPr>
    </w:p>
    <w:p w14:paraId="3112607B">
      <w:pPr>
        <w:autoSpaceDE w:val="0"/>
        <w:autoSpaceDN w:val="0"/>
        <w:adjustRightInd w:val="0"/>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El SENA, establece el Horario de Trabajo en el Reglamento Interno de la entidad, en cumplimiento de las exigencias de la Ley de empleabilidad y Protección Social (Ley 789 de 2002); Ley 1503 de 2011, Resolución 315 de febrero 6 de 2013 y demás normas legales vigentes y concordantes:</w:t>
      </w:r>
    </w:p>
    <w:p w14:paraId="290C1771">
      <w:pPr>
        <w:autoSpaceDE w:val="0"/>
        <w:autoSpaceDN w:val="0"/>
        <w:adjustRightInd w:val="0"/>
        <w:spacing w:line="276" w:lineRule="auto"/>
        <w:rPr>
          <w:rFonts w:eastAsia="Calibri" w:asciiTheme="minorHAnsi" w:hAnsiTheme="minorHAnsi" w:cstheme="minorHAnsi"/>
          <w:sz w:val="24"/>
          <w:szCs w:val="24"/>
          <w:lang w:eastAsia="en-US"/>
        </w:rPr>
      </w:pPr>
    </w:p>
    <w:p w14:paraId="4FEC22D7">
      <w:pPr>
        <w:numPr>
          <w:ilvl w:val="0"/>
          <w:numId w:val="26"/>
        </w:numPr>
        <w:autoSpaceDE w:val="0"/>
        <w:autoSpaceDN w:val="0"/>
        <w:adjustRightInd w:val="0"/>
        <w:spacing w:line="276" w:lineRule="auto"/>
        <w:ind w:left="540" w:hanging="540"/>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La jornada de trabajo para los conductores, será por turnos relativos de ocho (8) horas diarias a partir de la hora de su despacho de lunes a sábado sin exceder las 48 semanales.</w:t>
      </w:r>
    </w:p>
    <w:p w14:paraId="31017550">
      <w:pPr>
        <w:numPr>
          <w:ilvl w:val="0"/>
          <w:numId w:val="26"/>
        </w:numPr>
        <w:autoSpaceDE w:val="0"/>
        <w:autoSpaceDN w:val="0"/>
        <w:adjustRightInd w:val="0"/>
        <w:spacing w:line="276" w:lineRule="auto"/>
        <w:ind w:left="540" w:hanging="540"/>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En los tiempo en que los conductores no estén realizando su labor se tomará como tiempo de descanso y podrá ser utilizado para realizar pausas activas.</w:t>
      </w:r>
    </w:p>
    <w:p w14:paraId="1FFE446C">
      <w:pPr>
        <w:autoSpaceDE w:val="0"/>
        <w:autoSpaceDN w:val="0"/>
        <w:adjustRightInd w:val="0"/>
        <w:spacing w:line="276" w:lineRule="auto"/>
        <w:rPr>
          <w:rFonts w:eastAsia="Calibri" w:asciiTheme="minorHAnsi" w:hAnsiTheme="minorHAnsi" w:cstheme="minorHAnsi"/>
          <w:sz w:val="24"/>
          <w:szCs w:val="24"/>
          <w:lang w:eastAsia="en-US"/>
        </w:rPr>
      </w:pPr>
    </w:p>
    <w:p w14:paraId="7893AC36">
      <w:pPr>
        <w:autoSpaceDE w:val="0"/>
        <w:autoSpaceDN w:val="0"/>
        <w:adjustRightInd w:val="0"/>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Al respecto se debe tener en cuenta que según el documento del programa de prevención al consumo de sustancias psicoactivas (SPA) “consumo respeto”</w:t>
      </w:r>
      <w:r>
        <w:rPr>
          <w:rFonts w:eastAsia="Calibri" w:asciiTheme="minorHAnsi" w:hAnsiTheme="minorHAnsi" w:cstheme="minorHAnsi"/>
          <w:b/>
          <w:bCs/>
          <w:sz w:val="24"/>
          <w:szCs w:val="24"/>
          <w:lang w:eastAsia="en-US"/>
        </w:rPr>
        <w:t xml:space="preserve">, </w:t>
      </w:r>
      <w:r>
        <w:rPr>
          <w:rFonts w:eastAsia="Calibri" w:asciiTheme="minorHAnsi" w:hAnsiTheme="minorHAnsi" w:cstheme="minorHAnsi"/>
          <w:sz w:val="24"/>
          <w:szCs w:val="24"/>
          <w:lang w:eastAsia="en-US"/>
        </w:rPr>
        <w:t>cada Director Regional y Subdirector de Centro, Sede o Subsede es autónomo para estipular el horario de sus colaboradores (conductores); en tal virtud, con el fin de prevenir, reducir, mitigar o evitar la accidentalidad vial, fijaran los horarios teniendo en cuenta lo establecido para los servidores públicos según Directiva presidencial No. 6 de 2014.</w:t>
      </w:r>
    </w:p>
    <w:p w14:paraId="544290AC">
      <w:pPr>
        <w:autoSpaceDE w:val="0"/>
        <w:autoSpaceDN w:val="0"/>
        <w:adjustRightInd w:val="0"/>
        <w:spacing w:line="276" w:lineRule="auto"/>
        <w:rPr>
          <w:rFonts w:eastAsia="Calibri" w:asciiTheme="minorHAnsi" w:hAnsiTheme="minorHAnsi" w:cstheme="minorHAnsi"/>
          <w:sz w:val="24"/>
          <w:szCs w:val="24"/>
          <w:lang w:eastAsia="en-US"/>
        </w:rPr>
      </w:pPr>
    </w:p>
    <w:p w14:paraId="18B4F678">
      <w:pPr>
        <w:autoSpaceDE w:val="0"/>
        <w:autoSpaceDN w:val="0"/>
        <w:adjustRightInd w:val="0"/>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Por lo que la Entidad debe promover y regular el descanso adecuado de los conductores, para esto se establecieron políticas y acciones que regulan las horas máximas de conducción y el adecuado descanso.</w:t>
      </w:r>
    </w:p>
    <w:p w14:paraId="71602737">
      <w:pPr>
        <w:autoSpaceDE w:val="0"/>
        <w:autoSpaceDN w:val="0"/>
        <w:adjustRightInd w:val="0"/>
        <w:spacing w:line="276" w:lineRule="auto"/>
        <w:rPr>
          <w:rFonts w:eastAsia="Calibri" w:asciiTheme="minorHAnsi" w:hAnsiTheme="minorHAnsi" w:cstheme="minorHAnsi"/>
          <w:sz w:val="24"/>
          <w:szCs w:val="24"/>
          <w:lang w:eastAsia="en-US"/>
        </w:rPr>
      </w:pPr>
    </w:p>
    <w:p w14:paraId="10CD7014">
      <w:pPr>
        <w:numPr>
          <w:ilvl w:val="0"/>
          <w:numId w:val="27"/>
        </w:numPr>
        <w:autoSpaceDE w:val="0"/>
        <w:autoSpaceDN w:val="0"/>
        <w:adjustRightInd w:val="0"/>
        <w:spacing w:line="276" w:lineRule="auto"/>
        <w:ind w:left="540" w:hanging="540"/>
        <w:rPr>
          <w:rFonts w:eastAsia="Calibri" w:asciiTheme="minorHAnsi" w:hAnsiTheme="minorHAnsi" w:cstheme="minorHAnsi"/>
          <w:b/>
          <w:bCs/>
          <w:sz w:val="24"/>
          <w:szCs w:val="24"/>
          <w:lang w:eastAsia="en-US"/>
        </w:rPr>
      </w:pPr>
      <w:r>
        <w:rPr>
          <w:rFonts w:eastAsia="Calibri" w:asciiTheme="minorHAnsi" w:hAnsiTheme="minorHAnsi" w:cstheme="minorHAnsi"/>
          <w:b/>
          <w:bCs/>
          <w:sz w:val="24"/>
          <w:szCs w:val="24"/>
          <w:lang w:eastAsia="en-US"/>
        </w:rPr>
        <w:t>Horas extras para conductores SENA</w:t>
      </w:r>
    </w:p>
    <w:p w14:paraId="345175ED">
      <w:pPr>
        <w:autoSpaceDE w:val="0"/>
        <w:autoSpaceDN w:val="0"/>
        <w:adjustRightInd w:val="0"/>
        <w:spacing w:line="276" w:lineRule="auto"/>
        <w:ind w:left="540"/>
        <w:rPr>
          <w:rFonts w:eastAsia="Calibri" w:asciiTheme="minorHAnsi" w:hAnsiTheme="minorHAnsi" w:cstheme="minorHAnsi"/>
          <w:b/>
          <w:bCs/>
          <w:sz w:val="24"/>
          <w:szCs w:val="24"/>
          <w:lang w:eastAsia="en-US"/>
        </w:rPr>
      </w:pPr>
    </w:p>
    <w:p w14:paraId="3425C397">
      <w:pPr>
        <w:autoSpaceDE w:val="0"/>
        <w:autoSpaceDN w:val="0"/>
        <w:adjustRightInd w:val="0"/>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De conformidad con el documento SENA “Lineamiento para la autorización y legalización de horas extras lo máximo permitido para la actividades de conducción es de 80 horas de los cuales 20 son horas diurnas y 60 nocturnas”, de acuerdo con la Directiva Presidencial No. 6 de 2014</w:t>
      </w:r>
    </w:p>
    <w:p w14:paraId="27CD3E11">
      <w:pPr>
        <w:autoSpaceDE w:val="0"/>
        <w:autoSpaceDN w:val="0"/>
        <w:adjustRightInd w:val="0"/>
        <w:spacing w:line="276" w:lineRule="auto"/>
        <w:rPr>
          <w:rFonts w:eastAsia="Calibri" w:asciiTheme="minorHAnsi" w:hAnsiTheme="minorHAnsi" w:cstheme="minorHAnsi"/>
          <w:sz w:val="24"/>
          <w:szCs w:val="24"/>
          <w:lang w:eastAsia="en-US"/>
        </w:rPr>
      </w:pPr>
    </w:p>
    <w:p w14:paraId="07D2CD39">
      <w:pPr>
        <w:autoSpaceDE w:val="0"/>
        <w:autoSpaceDN w:val="0"/>
        <w:adjustRightInd w:val="0"/>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Con el objetivo de cumplir lo anterior debe considerar la limitación de las horas máximas de conducción y los relevos para los conductores de acuerdo a la circular de Directiva Presidencial No.6 de 2014.</w:t>
      </w:r>
    </w:p>
    <w:p w14:paraId="3D17BC47">
      <w:pPr>
        <w:autoSpaceDE w:val="0"/>
        <w:autoSpaceDN w:val="0"/>
        <w:adjustRightInd w:val="0"/>
        <w:spacing w:line="276" w:lineRule="auto"/>
        <w:rPr>
          <w:rFonts w:eastAsia="Calibri" w:asciiTheme="minorHAnsi" w:hAnsiTheme="minorHAnsi" w:cstheme="minorHAnsi"/>
          <w:sz w:val="24"/>
          <w:szCs w:val="24"/>
          <w:lang w:eastAsia="en-US"/>
        </w:rPr>
      </w:pPr>
    </w:p>
    <w:p w14:paraId="529ECEF3">
      <w:pPr>
        <w:numPr>
          <w:ilvl w:val="0"/>
          <w:numId w:val="27"/>
        </w:numPr>
        <w:autoSpaceDE w:val="0"/>
        <w:autoSpaceDN w:val="0"/>
        <w:adjustRightInd w:val="0"/>
        <w:spacing w:line="276" w:lineRule="auto"/>
        <w:ind w:left="540" w:hanging="540"/>
        <w:rPr>
          <w:rFonts w:eastAsia="Calibri" w:asciiTheme="minorHAnsi" w:hAnsiTheme="minorHAnsi" w:cstheme="minorHAnsi"/>
          <w:b/>
          <w:sz w:val="24"/>
          <w:szCs w:val="24"/>
          <w:lang w:eastAsia="en-US"/>
        </w:rPr>
      </w:pPr>
      <w:r>
        <w:rPr>
          <w:rFonts w:eastAsia="Calibri" w:asciiTheme="minorHAnsi" w:hAnsiTheme="minorHAnsi" w:cstheme="minorHAnsi"/>
          <w:b/>
          <w:sz w:val="24"/>
          <w:szCs w:val="24"/>
          <w:lang w:eastAsia="en-US"/>
        </w:rPr>
        <w:t>Reporte de jornadas laborales</w:t>
      </w:r>
    </w:p>
    <w:p w14:paraId="31763458">
      <w:pPr>
        <w:autoSpaceDE w:val="0"/>
        <w:autoSpaceDN w:val="0"/>
        <w:adjustRightInd w:val="0"/>
        <w:spacing w:line="276" w:lineRule="auto"/>
        <w:ind w:left="540"/>
        <w:rPr>
          <w:rFonts w:eastAsia="Calibri" w:asciiTheme="minorHAnsi" w:hAnsiTheme="minorHAnsi" w:cstheme="minorHAnsi"/>
          <w:b/>
          <w:sz w:val="24"/>
          <w:szCs w:val="24"/>
          <w:lang w:eastAsia="en-US"/>
        </w:rPr>
      </w:pPr>
    </w:p>
    <w:p w14:paraId="1EC2D54F">
      <w:pPr>
        <w:autoSpaceDE w:val="0"/>
        <w:autoSpaceDN w:val="0"/>
        <w:adjustRightInd w:val="0"/>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El SENA dispone de herramientas para controlar el reporte de las jornadas laborales de sus conductores, así como evidenciar sus periodos de descansos efectivos, dichos reportes se registran en el formato GIL-F-034</w:t>
      </w:r>
      <w:r>
        <w:rPr>
          <w:rFonts w:asciiTheme="minorHAnsi" w:hAnsiTheme="minorHAnsi" w:cstheme="minorHAnsi"/>
          <w:sz w:val="24"/>
          <w:szCs w:val="24"/>
        </w:rPr>
        <w:t xml:space="preserve"> </w:t>
      </w:r>
      <w:r>
        <w:rPr>
          <w:rFonts w:eastAsia="Calibri" w:asciiTheme="minorHAnsi" w:hAnsiTheme="minorHAnsi" w:cstheme="minorHAnsi"/>
          <w:sz w:val="24"/>
          <w:szCs w:val="24"/>
          <w:lang w:eastAsia="en-US"/>
        </w:rPr>
        <w:t>Formato control de actividades parque automotor.</w:t>
      </w:r>
    </w:p>
    <w:p w14:paraId="337DFA29">
      <w:pPr>
        <w:autoSpaceDE w:val="0"/>
        <w:autoSpaceDN w:val="0"/>
        <w:adjustRightInd w:val="0"/>
        <w:spacing w:line="276" w:lineRule="auto"/>
        <w:rPr>
          <w:rFonts w:eastAsia="Calibri" w:asciiTheme="minorHAnsi" w:hAnsiTheme="minorHAnsi" w:cstheme="minorHAnsi"/>
          <w:sz w:val="24"/>
          <w:szCs w:val="24"/>
          <w:lang w:eastAsia="en-US"/>
        </w:rPr>
      </w:pPr>
    </w:p>
    <w:p w14:paraId="02F2D529">
      <w:pPr>
        <w:pStyle w:val="5"/>
        <w:numPr>
          <w:ilvl w:val="3"/>
          <w:numId w:val="25"/>
        </w:numPr>
        <w:spacing w:before="0"/>
        <w:rPr>
          <w:rFonts w:eastAsia="Calibri" w:asciiTheme="minorHAnsi" w:hAnsiTheme="minorHAnsi" w:cstheme="minorHAnsi"/>
          <w:sz w:val="24"/>
          <w:szCs w:val="24"/>
        </w:rPr>
      </w:pPr>
      <w:r>
        <w:rPr>
          <w:rFonts w:eastAsia="Calibri" w:asciiTheme="minorHAnsi" w:hAnsiTheme="minorHAnsi" w:cstheme="minorHAnsi"/>
          <w:sz w:val="24"/>
          <w:szCs w:val="24"/>
        </w:rPr>
        <w:t>Regulación de velocidad</w:t>
      </w:r>
    </w:p>
    <w:p w14:paraId="38E82657">
      <w:pPr>
        <w:spacing w:line="276" w:lineRule="auto"/>
        <w:rPr>
          <w:rFonts w:eastAsia="Calibri" w:asciiTheme="minorHAnsi" w:hAnsiTheme="minorHAnsi" w:cstheme="minorHAnsi"/>
          <w:sz w:val="24"/>
          <w:szCs w:val="24"/>
          <w:lang w:eastAsia="es-CO"/>
        </w:rPr>
      </w:pPr>
    </w:p>
    <w:p w14:paraId="3D13A409">
      <w:pPr>
        <w:autoSpaceDE w:val="0"/>
        <w:autoSpaceDN w:val="0"/>
        <w:adjustRightInd w:val="0"/>
        <w:spacing w:line="276" w:lineRule="auto"/>
        <w:rPr>
          <w:rFonts w:asciiTheme="minorHAnsi" w:hAnsiTheme="minorHAnsi" w:cstheme="minorHAnsi"/>
          <w:sz w:val="24"/>
          <w:szCs w:val="24"/>
        </w:rPr>
      </w:pPr>
      <w:r>
        <w:rPr>
          <w:rFonts w:eastAsia="Calibri" w:asciiTheme="minorHAnsi" w:hAnsiTheme="minorHAnsi" w:cstheme="minorHAnsi"/>
          <w:sz w:val="24"/>
          <w:szCs w:val="24"/>
          <w:lang w:eastAsia="en-US"/>
        </w:rPr>
        <w:t>El SENA se acoge a los límites de velocidad establecidos por legislación colombiana, por ello  declara en su Política de seguridad vial</w:t>
      </w:r>
      <w:r>
        <w:rPr>
          <w:rFonts w:asciiTheme="minorHAnsi" w:hAnsiTheme="minorHAnsi" w:cstheme="minorHAnsi"/>
          <w:sz w:val="24"/>
          <w:szCs w:val="24"/>
        </w:rPr>
        <w:t>: Promover el respeto de los límites de velocidad.</w:t>
      </w:r>
    </w:p>
    <w:p w14:paraId="3588C23D">
      <w:pPr>
        <w:autoSpaceDE w:val="0"/>
        <w:autoSpaceDN w:val="0"/>
        <w:adjustRightInd w:val="0"/>
        <w:spacing w:line="276" w:lineRule="auto"/>
        <w:rPr>
          <w:rFonts w:asciiTheme="minorHAnsi" w:hAnsiTheme="minorHAnsi" w:cstheme="minorHAnsi"/>
          <w:sz w:val="24"/>
          <w:szCs w:val="24"/>
        </w:rPr>
      </w:pPr>
    </w:p>
    <w:p w14:paraId="5A907740">
      <w:pPr>
        <w:autoSpaceDE w:val="0"/>
        <w:autoSpaceDN w:val="0"/>
        <w:adjustRightInd w:val="0"/>
        <w:spacing w:line="276" w:lineRule="auto"/>
        <w:rPr>
          <w:rFonts w:asciiTheme="minorHAnsi" w:hAnsiTheme="minorHAnsi" w:cstheme="minorHAnsi"/>
          <w:sz w:val="24"/>
          <w:szCs w:val="24"/>
        </w:rPr>
      </w:pPr>
      <w:r>
        <w:rPr>
          <w:rFonts w:asciiTheme="minorHAnsi" w:hAnsiTheme="minorHAnsi" w:cstheme="minorHAnsi"/>
          <w:sz w:val="24"/>
          <w:szCs w:val="24"/>
        </w:rPr>
        <w:t>El SENA, tiene operación a nivel nacional, por lo cual todos sus funcionarios deben acatar y respetar los límites de velocidad establecidos en cada zona a transitar tanto en las zonas urbanas, como en las zonas rurales.</w:t>
      </w:r>
    </w:p>
    <w:p w14:paraId="733BAAF6">
      <w:pPr>
        <w:autoSpaceDE w:val="0"/>
        <w:autoSpaceDN w:val="0"/>
        <w:adjustRightInd w:val="0"/>
        <w:spacing w:line="276" w:lineRule="auto"/>
        <w:rPr>
          <w:rFonts w:asciiTheme="minorHAnsi" w:hAnsiTheme="minorHAnsi" w:cstheme="minorHAnsi"/>
          <w:sz w:val="24"/>
          <w:szCs w:val="24"/>
        </w:rPr>
      </w:pPr>
    </w:p>
    <w:p w14:paraId="531AA1F7">
      <w:pPr>
        <w:autoSpaceDE w:val="0"/>
        <w:autoSpaceDN w:val="0"/>
        <w:adjustRightInd w:val="0"/>
        <w:spacing w:line="276" w:lineRule="auto"/>
        <w:rPr>
          <w:rFonts w:asciiTheme="minorHAnsi" w:hAnsiTheme="minorHAnsi" w:cstheme="minorHAnsi"/>
          <w:sz w:val="24"/>
          <w:szCs w:val="24"/>
        </w:rPr>
      </w:pPr>
      <w:r>
        <w:rPr>
          <w:rFonts w:asciiTheme="minorHAnsi" w:hAnsiTheme="minorHAnsi" w:cstheme="minorHAnsi"/>
          <w:sz w:val="24"/>
          <w:szCs w:val="24"/>
        </w:rPr>
        <w:t>Siguiendo como estándar lo expresado por el código de transito de Colombia:</w:t>
      </w:r>
    </w:p>
    <w:p w14:paraId="3FC471A6">
      <w:pPr>
        <w:autoSpaceDE w:val="0"/>
        <w:autoSpaceDN w:val="0"/>
        <w:adjustRightInd w:val="0"/>
        <w:spacing w:line="276" w:lineRule="auto"/>
        <w:rPr>
          <w:rFonts w:asciiTheme="minorHAnsi" w:hAnsiTheme="minorHAnsi" w:cstheme="minorHAnsi"/>
          <w:sz w:val="24"/>
          <w:szCs w:val="24"/>
        </w:rPr>
      </w:pPr>
    </w:p>
    <w:p w14:paraId="47AF680D">
      <w:pPr>
        <w:pStyle w:val="51"/>
        <w:numPr>
          <w:ilvl w:val="0"/>
          <w:numId w:val="28"/>
        </w:numPr>
        <w:autoSpaceDE w:val="0"/>
        <w:autoSpaceDN w:val="0"/>
        <w:adjustRightInd w:val="0"/>
        <w:spacing w:after="0" w:line="276" w:lineRule="auto"/>
        <w:ind w:left="540" w:hanging="540"/>
        <w:rPr>
          <w:rFonts w:cstheme="minorHAnsi"/>
          <w:sz w:val="24"/>
          <w:szCs w:val="24"/>
        </w:rPr>
      </w:pPr>
      <w:r>
        <w:rPr>
          <w:rFonts w:asciiTheme="minorHAnsi" w:hAnsiTheme="minorHAnsi" w:cstheme="minorHAnsi"/>
          <w:sz w:val="24"/>
          <w:szCs w:val="24"/>
        </w:rPr>
        <w:t xml:space="preserve">En vías urbanas las velocidades máximas serán de </w:t>
      </w:r>
      <w:r>
        <w:rPr>
          <w:rFonts w:cstheme="minorHAnsi"/>
          <w:color w:val="00B050"/>
          <w:sz w:val="24"/>
          <w:szCs w:val="24"/>
        </w:rPr>
        <w:t>cincuenta</w:t>
      </w:r>
      <w:r>
        <w:rPr>
          <w:rFonts w:asciiTheme="minorHAnsi" w:hAnsiTheme="minorHAnsi" w:cstheme="minorHAnsi"/>
          <w:color w:val="00B050"/>
          <w:sz w:val="24"/>
          <w:szCs w:val="24"/>
        </w:rPr>
        <w:t xml:space="preserve"> (</w:t>
      </w:r>
      <w:r>
        <w:rPr>
          <w:rFonts w:cstheme="minorHAnsi"/>
          <w:color w:val="00B050"/>
          <w:sz w:val="24"/>
          <w:szCs w:val="24"/>
        </w:rPr>
        <w:t>5</w:t>
      </w:r>
      <w:r>
        <w:rPr>
          <w:rFonts w:asciiTheme="minorHAnsi" w:hAnsiTheme="minorHAnsi" w:cstheme="minorHAnsi"/>
          <w:color w:val="00B050"/>
          <w:sz w:val="24"/>
          <w:szCs w:val="24"/>
        </w:rPr>
        <w:t xml:space="preserve">0) </w:t>
      </w:r>
      <w:r>
        <w:rPr>
          <w:rFonts w:asciiTheme="minorHAnsi" w:hAnsiTheme="minorHAnsi" w:cstheme="minorHAnsi"/>
          <w:sz w:val="24"/>
          <w:szCs w:val="24"/>
        </w:rPr>
        <w:t xml:space="preserve">kilómetros por hora excepto cuando las autoridades competentes por medio de señales indiquen velocidades distintas. </w:t>
      </w:r>
    </w:p>
    <w:p w14:paraId="2F379BC2">
      <w:pPr>
        <w:pStyle w:val="51"/>
        <w:numPr>
          <w:ilvl w:val="0"/>
          <w:numId w:val="28"/>
        </w:numPr>
        <w:autoSpaceDE w:val="0"/>
        <w:autoSpaceDN w:val="0"/>
        <w:adjustRightInd w:val="0"/>
        <w:spacing w:after="0" w:line="276" w:lineRule="auto"/>
        <w:ind w:left="540" w:hanging="540"/>
        <w:rPr>
          <w:rFonts w:asciiTheme="minorHAnsi" w:hAnsiTheme="minorHAnsi" w:cstheme="minorHAnsi"/>
          <w:color w:val="00B050"/>
          <w:sz w:val="24"/>
          <w:szCs w:val="24"/>
        </w:rPr>
      </w:pPr>
      <w:r>
        <w:rPr>
          <w:rFonts w:cstheme="minorHAnsi"/>
          <w:color w:val="00B050"/>
          <w:sz w:val="24"/>
          <w:szCs w:val="24"/>
        </w:rPr>
        <w:t>La velocidad en zonas escolares y en zonas residenciales será hasta treinta (30) kilómetros por hora.</w:t>
      </w:r>
    </w:p>
    <w:p w14:paraId="035F1D93">
      <w:pPr>
        <w:pStyle w:val="51"/>
        <w:numPr>
          <w:ilvl w:val="0"/>
          <w:numId w:val="28"/>
        </w:numPr>
        <w:autoSpaceDE w:val="0"/>
        <w:autoSpaceDN w:val="0"/>
        <w:adjustRightInd w:val="0"/>
        <w:spacing w:after="0" w:line="276" w:lineRule="auto"/>
        <w:ind w:left="567" w:hanging="540"/>
        <w:rPr>
          <w:rFonts w:cstheme="minorHAnsi"/>
          <w:color w:val="00B050"/>
          <w:sz w:val="24"/>
          <w:szCs w:val="24"/>
        </w:rPr>
      </w:pPr>
      <w:r>
        <w:rPr>
          <w:rFonts w:asciiTheme="minorHAnsi" w:hAnsiTheme="minorHAnsi" w:cstheme="minorHAnsi"/>
          <w:sz w:val="24"/>
          <w:szCs w:val="24"/>
        </w:rPr>
        <w:t>La velocidad máxima permitida en</w:t>
      </w:r>
      <w:r>
        <w:rPr>
          <w:rFonts w:cstheme="minorHAnsi"/>
          <w:sz w:val="24"/>
          <w:szCs w:val="24"/>
        </w:rPr>
        <w:t xml:space="preserve"> </w:t>
      </w:r>
      <w:r>
        <w:rPr>
          <w:rFonts w:cstheme="minorHAnsi"/>
          <w:color w:val="00B050"/>
          <w:sz w:val="24"/>
          <w:szCs w:val="24"/>
        </w:rPr>
        <w:t>carreteras</w:t>
      </w:r>
      <w:r>
        <w:rPr>
          <w:rFonts w:asciiTheme="minorHAnsi" w:hAnsiTheme="minorHAnsi" w:cstheme="minorHAnsi"/>
          <w:sz w:val="24"/>
          <w:szCs w:val="24"/>
        </w:rPr>
        <w:t xml:space="preserve"> </w:t>
      </w:r>
      <w:r>
        <w:rPr>
          <w:rFonts w:cstheme="minorHAnsi"/>
          <w:sz w:val="24"/>
          <w:szCs w:val="24"/>
        </w:rPr>
        <w:t xml:space="preserve">nacionales </w:t>
      </w:r>
      <w:r>
        <w:rPr>
          <w:rFonts w:cstheme="minorHAnsi"/>
          <w:color w:val="00B050"/>
          <w:sz w:val="24"/>
          <w:szCs w:val="24"/>
        </w:rPr>
        <w:t>y departamentales</w:t>
      </w:r>
      <w:r>
        <w:rPr>
          <w:rFonts w:asciiTheme="minorHAnsi" w:hAnsiTheme="minorHAnsi" w:cstheme="minorHAnsi"/>
          <w:color w:val="00B050"/>
          <w:sz w:val="24"/>
          <w:szCs w:val="24"/>
        </w:rPr>
        <w:t xml:space="preserve"> </w:t>
      </w:r>
      <w:r>
        <w:rPr>
          <w:rFonts w:cstheme="minorHAnsi"/>
          <w:color w:val="00B050"/>
          <w:sz w:val="24"/>
          <w:szCs w:val="24"/>
        </w:rPr>
        <w:t xml:space="preserve">no podrá sobrepasar los noventa </w:t>
      </w:r>
      <w:r>
        <w:rPr>
          <w:rFonts w:asciiTheme="minorHAnsi" w:hAnsiTheme="minorHAnsi" w:cstheme="minorHAnsi"/>
          <w:color w:val="00B050"/>
          <w:sz w:val="24"/>
          <w:szCs w:val="24"/>
        </w:rPr>
        <w:t>(</w:t>
      </w:r>
      <w:r>
        <w:rPr>
          <w:rFonts w:cstheme="minorHAnsi"/>
          <w:color w:val="00B050"/>
          <w:sz w:val="24"/>
          <w:szCs w:val="24"/>
        </w:rPr>
        <w:t>9</w:t>
      </w:r>
      <w:r>
        <w:rPr>
          <w:rFonts w:asciiTheme="minorHAnsi" w:hAnsiTheme="minorHAnsi" w:cstheme="minorHAnsi"/>
          <w:color w:val="00B050"/>
          <w:sz w:val="24"/>
          <w:szCs w:val="24"/>
        </w:rPr>
        <w:t xml:space="preserve">0) </w:t>
      </w:r>
      <w:r>
        <w:rPr>
          <w:rFonts w:asciiTheme="minorHAnsi" w:hAnsiTheme="minorHAnsi" w:cstheme="minorHAnsi"/>
          <w:sz w:val="24"/>
          <w:szCs w:val="24"/>
        </w:rPr>
        <w:t xml:space="preserve">Kilómetros por hora. </w:t>
      </w:r>
      <w:r>
        <w:rPr>
          <w:rFonts w:asciiTheme="minorHAnsi" w:hAnsiTheme="minorHAnsi" w:cstheme="minorHAnsi"/>
          <w:color w:val="00B050"/>
          <w:sz w:val="24"/>
          <w:szCs w:val="24"/>
        </w:rPr>
        <w:t>Para el caso de vías doble calzada que no contengan dentro de su diseño pasos peatonales, la velocidad máxima será de 120 kilómetros por hora</w:t>
      </w:r>
    </w:p>
    <w:p w14:paraId="71EB8EFA">
      <w:pPr>
        <w:pStyle w:val="51"/>
        <w:autoSpaceDE w:val="0"/>
        <w:autoSpaceDN w:val="0"/>
        <w:adjustRightInd w:val="0"/>
        <w:spacing w:after="0" w:line="276" w:lineRule="auto"/>
        <w:ind w:left="1134"/>
        <w:rPr>
          <w:rFonts w:asciiTheme="minorHAnsi" w:hAnsiTheme="minorHAnsi" w:cstheme="minorHAnsi"/>
          <w:sz w:val="24"/>
          <w:szCs w:val="24"/>
        </w:rPr>
      </w:pPr>
    </w:p>
    <w:p w14:paraId="4334CF30">
      <w:pPr>
        <w:pStyle w:val="5"/>
        <w:numPr>
          <w:ilvl w:val="3"/>
          <w:numId w:val="25"/>
        </w:numPr>
        <w:rPr>
          <w:rFonts w:eastAsia="Calibri" w:asciiTheme="minorHAnsi" w:hAnsiTheme="minorHAnsi" w:cstheme="minorHAnsi"/>
          <w:sz w:val="24"/>
          <w:szCs w:val="24"/>
        </w:rPr>
      </w:pPr>
      <w:r>
        <w:rPr>
          <w:rFonts w:eastAsia="Calibri" w:asciiTheme="minorHAnsi" w:hAnsiTheme="minorHAnsi" w:cstheme="minorHAnsi"/>
          <w:sz w:val="24"/>
          <w:szCs w:val="24"/>
        </w:rPr>
        <w:t>Regulación de uso del cinturón de seguridad</w:t>
      </w:r>
    </w:p>
    <w:p w14:paraId="5BFD4A1D">
      <w:pPr>
        <w:spacing w:line="276" w:lineRule="auto"/>
        <w:rPr>
          <w:rFonts w:eastAsia="Calibri" w:asciiTheme="minorHAnsi" w:hAnsiTheme="minorHAnsi" w:cstheme="minorHAnsi"/>
          <w:sz w:val="24"/>
          <w:szCs w:val="24"/>
          <w:lang w:eastAsia="es-CO"/>
        </w:rPr>
      </w:pPr>
    </w:p>
    <w:p w14:paraId="1F112709">
      <w:pPr>
        <w:autoSpaceDE w:val="0"/>
        <w:autoSpaceDN w:val="0"/>
        <w:adjustRightInd w:val="0"/>
        <w:spacing w:line="276" w:lineRule="auto"/>
        <w:rPr>
          <w:rFonts w:asciiTheme="minorHAnsi" w:hAnsiTheme="minorHAnsi" w:cstheme="minorHAnsi"/>
          <w:sz w:val="24"/>
          <w:szCs w:val="24"/>
        </w:rPr>
      </w:pPr>
      <w:r>
        <w:rPr>
          <w:rFonts w:eastAsia="Calibri" w:asciiTheme="minorHAnsi" w:hAnsiTheme="minorHAnsi" w:cstheme="minorHAnsi"/>
          <w:sz w:val="24"/>
          <w:szCs w:val="24"/>
          <w:lang w:eastAsia="en-US"/>
        </w:rPr>
        <w:t xml:space="preserve">El SENA declara en su única política de seguridad vial, su compromiso para: </w:t>
      </w:r>
      <w:r>
        <w:rPr>
          <w:rFonts w:asciiTheme="minorHAnsi" w:hAnsiTheme="minorHAnsi" w:cstheme="minorHAnsi"/>
          <w:sz w:val="24"/>
          <w:szCs w:val="24"/>
        </w:rPr>
        <w:t>Promover el uso obligatorio de cinturones de seguridad. Para lo cual realiza procesos de capacitación en manejo defensivo y sensibilizaciones a los diferentes actores viales.</w:t>
      </w:r>
    </w:p>
    <w:p w14:paraId="70133858">
      <w:pPr>
        <w:autoSpaceDE w:val="0"/>
        <w:autoSpaceDN w:val="0"/>
        <w:adjustRightInd w:val="0"/>
        <w:spacing w:line="276" w:lineRule="auto"/>
        <w:rPr>
          <w:rFonts w:asciiTheme="minorHAnsi" w:hAnsiTheme="minorHAnsi" w:cstheme="minorHAnsi"/>
          <w:sz w:val="24"/>
          <w:szCs w:val="24"/>
        </w:rPr>
      </w:pPr>
    </w:p>
    <w:p w14:paraId="2C656B07">
      <w:pPr>
        <w:autoSpaceDE w:val="0"/>
        <w:autoSpaceDN w:val="0"/>
        <w:adjustRightInd w:val="0"/>
        <w:spacing w:line="276" w:lineRule="auto"/>
        <w:rPr>
          <w:rFonts w:asciiTheme="minorHAnsi" w:hAnsiTheme="minorHAnsi" w:cstheme="minorHAnsi"/>
          <w:sz w:val="24"/>
          <w:szCs w:val="24"/>
        </w:rPr>
      </w:pPr>
      <w:r>
        <w:rPr>
          <w:rFonts w:asciiTheme="minorHAnsi" w:hAnsiTheme="minorHAnsi" w:cstheme="minorHAnsi"/>
          <w:sz w:val="24"/>
          <w:szCs w:val="24"/>
        </w:rPr>
        <w:t>Como parte de la gestión de seguimiento y verificación a este lineamiento, se realizan la revisión de comparendos, las inspecciones pre operacionales y auditorias de seguridad vial.</w:t>
      </w:r>
    </w:p>
    <w:p w14:paraId="49C7A41D">
      <w:pPr>
        <w:autoSpaceDE w:val="0"/>
        <w:autoSpaceDN w:val="0"/>
        <w:adjustRightInd w:val="0"/>
        <w:spacing w:line="276" w:lineRule="auto"/>
        <w:rPr>
          <w:rFonts w:asciiTheme="minorHAnsi" w:hAnsiTheme="minorHAnsi" w:cstheme="minorHAnsi"/>
          <w:sz w:val="24"/>
          <w:szCs w:val="24"/>
        </w:rPr>
      </w:pPr>
    </w:p>
    <w:p w14:paraId="0AEFCBB3">
      <w:pPr>
        <w:pStyle w:val="5"/>
        <w:numPr>
          <w:ilvl w:val="3"/>
          <w:numId w:val="25"/>
        </w:numPr>
        <w:spacing w:before="0"/>
        <w:rPr>
          <w:rFonts w:asciiTheme="minorHAnsi" w:hAnsiTheme="minorHAnsi" w:cstheme="minorHAnsi"/>
          <w:sz w:val="24"/>
          <w:szCs w:val="24"/>
        </w:rPr>
      </w:pPr>
      <w:bookmarkStart w:id="78" w:name="_Toc497841893"/>
      <w:bookmarkStart w:id="79" w:name="_Toc485297486"/>
      <w:r>
        <w:rPr>
          <w:rFonts w:asciiTheme="minorHAnsi" w:hAnsiTheme="minorHAnsi" w:cstheme="minorHAnsi"/>
          <w:sz w:val="24"/>
          <w:szCs w:val="24"/>
        </w:rPr>
        <w:t>Uso de elementos de protección</w:t>
      </w:r>
      <w:bookmarkEnd w:id="78"/>
      <w:bookmarkEnd w:id="79"/>
    </w:p>
    <w:p w14:paraId="2C66395E">
      <w:pPr>
        <w:spacing w:line="276" w:lineRule="auto"/>
        <w:rPr>
          <w:rFonts w:asciiTheme="minorHAnsi" w:hAnsiTheme="minorHAnsi" w:cstheme="minorHAnsi"/>
          <w:sz w:val="24"/>
          <w:szCs w:val="24"/>
          <w:lang w:eastAsia="es-CO"/>
        </w:rPr>
      </w:pPr>
    </w:p>
    <w:p w14:paraId="68B38C7C">
      <w:pPr>
        <w:spacing w:line="276" w:lineRule="auto"/>
        <w:rPr>
          <w:rFonts w:asciiTheme="minorHAnsi" w:hAnsiTheme="minorHAnsi" w:cstheme="minorHAnsi"/>
          <w:sz w:val="24"/>
          <w:szCs w:val="24"/>
        </w:rPr>
      </w:pPr>
      <w:r>
        <w:rPr>
          <w:rFonts w:asciiTheme="minorHAnsi" w:hAnsiTheme="minorHAnsi" w:cstheme="minorHAnsi"/>
          <w:sz w:val="24"/>
          <w:szCs w:val="24"/>
        </w:rPr>
        <w:t>El SENA ha definido los elementos de protección personal requeridos para los conductores, de tal manera que se garantice su seguridad en la conducción.</w:t>
      </w:r>
    </w:p>
    <w:p w14:paraId="4B2159DF">
      <w:pPr>
        <w:spacing w:line="276" w:lineRule="auto"/>
        <w:rPr>
          <w:rFonts w:asciiTheme="minorHAnsi" w:hAnsiTheme="minorHAnsi" w:cstheme="minorHAnsi"/>
          <w:sz w:val="24"/>
          <w:szCs w:val="24"/>
        </w:rPr>
      </w:pPr>
      <w:r>
        <w:rPr>
          <w:rFonts w:asciiTheme="minorHAnsi" w:hAnsiTheme="minorHAnsi" w:cstheme="minorHAnsi"/>
          <w:sz w:val="24"/>
          <w:szCs w:val="24"/>
        </w:rPr>
        <w:t>El estándar para la selección y respectiva identificación de Elementos de Protección Personal (EPPs) por cargo se ha documentado en la Resolución 2644 de 2006 y su, por la cual se establece el Manual de ropa de trabajo y elementos de protección personal para los servidores públicos del SENA.</w:t>
      </w:r>
    </w:p>
    <w:p w14:paraId="59819E45">
      <w:pPr>
        <w:spacing w:line="276" w:lineRule="auto"/>
        <w:rPr>
          <w:rFonts w:asciiTheme="minorHAnsi" w:hAnsiTheme="minorHAnsi" w:cstheme="minorHAnsi"/>
          <w:sz w:val="24"/>
          <w:szCs w:val="24"/>
        </w:rPr>
      </w:pPr>
    </w:p>
    <w:p w14:paraId="5CA1AA3C">
      <w:pPr>
        <w:spacing w:line="276" w:lineRule="auto"/>
        <w:rPr>
          <w:rFonts w:asciiTheme="minorHAnsi" w:hAnsiTheme="minorHAnsi" w:cstheme="minorHAnsi"/>
          <w:sz w:val="24"/>
          <w:szCs w:val="24"/>
        </w:rPr>
      </w:pPr>
      <w:r>
        <w:rPr>
          <w:rFonts w:asciiTheme="minorHAnsi" w:hAnsiTheme="minorHAnsi" w:cstheme="minorHAnsi"/>
          <w:sz w:val="24"/>
          <w:szCs w:val="24"/>
        </w:rPr>
        <w:t>Adicionalmente se dispone de una matriz de elementos de protección personal, documentada por cargos, en la cual se puede evidenciar para el cargo de conductor su respectiva identificación, la verificación de su uso y estado de los mismos se desarrollara según cronograma de inspecciones planeadas en cada Regional.</w:t>
      </w:r>
    </w:p>
    <w:p w14:paraId="410CB296">
      <w:pPr>
        <w:spacing w:line="276" w:lineRule="auto"/>
        <w:rPr>
          <w:rFonts w:asciiTheme="minorHAnsi" w:hAnsiTheme="minorHAnsi" w:cstheme="minorHAnsi"/>
          <w:sz w:val="24"/>
          <w:szCs w:val="24"/>
        </w:rPr>
      </w:pPr>
    </w:p>
    <w:p w14:paraId="1F2C08D3">
      <w:pPr>
        <w:pStyle w:val="5"/>
        <w:numPr>
          <w:ilvl w:val="3"/>
          <w:numId w:val="25"/>
        </w:numPr>
        <w:spacing w:before="0"/>
        <w:rPr>
          <w:rFonts w:asciiTheme="minorHAnsi" w:hAnsiTheme="minorHAnsi" w:cstheme="minorHAnsi"/>
          <w:sz w:val="24"/>
          <w:szCs w:val="24"/>
        </w:rPr>
      </w:pPr>
      <w:r>
        <w:rPr>
          <w:rFonts w:asciiTheme="minorHAnsi" w:hAnsiTheme="minorHAnsi" w:cstheme="minorHAnsi"/>
          <w:sz w:val="24"/>
          <w:szCs w:val="24"/>
        </w:rPr>
        <w:t>Prohibición de uso de equipos móviles.</w:t>
      </w:r>
    </w:p>
    <w:p w14:paraId="775B4271">
      <w:pPr>
        <w:spacing w:line="276" w:lineRule="auto"/>
        <w:rPr>
          <w:rFonts w:asciiTheme="minorHAnsi" w:hAnsiTheme="minorHAnsi" w:cstheme="minorHAnsi"/>
          <w:sz w:val="24"/>
          <w:szCs w:val="24"/>
          <w:lang w:eastAsia="es-CO"/>
        </w:rPr>
      </w:pPr>
    </w:p>
    <w:p w14:paraId="0310E74F">
      <w:pPr>
        <w:autoSpaceDE w:val="0"/>
        <w:autoSpaceDN w:val="0"/>
        <w:adjustRightInd w:val="0"/>
        <w:spacing w:line="276" w:lineRule="auto"/>
        <w:rPr>
          <w:rFonts w:asciiTheme="minorHAnsi" w:hAnsiTheme="minorHAnsi" w:cstheme="minorHAnsi"/>
          <w:sz w:val="24"/>
          <w:szCs w:val="24"/>
        </w:rPr>
      </w:pPr>
      <w:r>
        <w:rPr>
          <w:rFonts w:eastAsia="Calibri" w:asciiTheme="minorHAnsi" w:hAnsiTheme="minorHAnsi" w:cstheme="minorHAnsi"/>
          <w:sz w:val="24"/>
          <w:szCs w:val="24"/>
          <w:lang w:eastAsia="en-US"/>
        </w:rPr>
        <w:t>El SENA declara en la política de seguridad vial que hace parte del presente documento, su compromiso para:</w:t>
      </w:r>
      <w:r>
        <w:rPr>
          <w:rFonts w:asciiTheme="minorHAnsi" w:hAnsiTheme="minorHAnsi" w:cstheme="minorHAnsi"/>
          <w:sz w:val="24"/>
          <w:szCs w:val="24"/>
        </w:rPr>
        <w:t xml:space="preserve"> Prohibir el uso de dispositivos móviles durante la conducción. Para lo cual realiza procesos de capacitación en manejo defensivo y sensibilizaciones a los diferentes actores viales.</w:t>
      </w:r>
    </w:p>
    <w:p w14:paraId="3A8677B9">
      <w:pPr>
        <w:autoSpaceDE w:val="0"/>
        <w:autoSpaceDN w:val="0"/>
        <w:adjustRightInd w:val="0"/>
        <w:spacing w:line="276" w:lineRule="auto"/>
        <w:rPr>
          <w:rFonts w:asciiTheme="minorHAnsi" w:hAnsiTheme="minorHAnsi" w:cstheme="minorHAnsi"/>
          <w:sz w:val="24"/>
          <w:szCs w:val="24"/>
        </w:rPr>
      </w:pPr>
    </w:p>
    <w:p w14:paraId="53ABCCA0">
      <w:pPr>
        <w:autoSpaceDE w:val="0"/>
        <w:autoSpaceDN w:val="0"/>
        <w:adjustRightInd w:val="0"/>
        <w:spacing w:line="276" w:lineRule="auto"/>
        <w:rPr>
          <w:rFonts w:asciiTheme="minorHAnsi" w:hAnsiTheme="minorHAnsi" w:cstheme="minorHAnsi"/>
          <w:sz w:val="24"/>
          <w:szCs w:val="24"/>
        </w:rPr>
      </w:pPr>
      <w:r>
        <w:rPr>
          <w:rFonts w:asciiTheme="minorHAnsi" w:hAnsiTheme="minorHAnsi" w:cstheme="minorHAnsi"/>
          <w:sz w:val="24"/>
          <w:szCs w:val="24"/>
        </w:rPr>
        <w:t>La comunicación de estos lineamientos forma parte integral de las socializaciones planificadas y ejecutadas, por lo cual si se requiere evidenciar soportes de socializaciones registradas.</w:t>
      </w:r>
    </w:p>
    <w:p w14:paraId="433F10E7">
      <w:pPr>
        <w:autoSpaceDE w:val="0"/>
        <w:autoSpaceDN w:val="0"/>
        <w:adjustRightInd w:val="0"/>
        <w:spacing w:line="276" w:lineRule="auto"/>
        <w:rPr>
          <w:rFonts w:asciiTheme="minorHAnsi" w:hAnsiTheme="minorHAnsi" w:cstheme="minorHAnsi"/>
          <w:sz w:val="24"/>
          <w:szCs w:val="24"/>
        </w:rPr>
      </w:pPr>
    </w:p>
    <w:p w14:paraId="5DC44246">
      <w:pPr>
        <w:pStyle w:val="2"/>
        <w:numPr>
          <w:ilvl w:val="0"/>
          <w:numId w:val="4"/>
        </w:numPr>
        <w:spacing w:after="0" w:line="276" w:lineRule="auto"/>
        <w:rPr>
          <w:rFonts w:asciiTheme="minorHAnsi" w:hAnsiTheme="minorHAnsi" w:cstheme="minorHAnsi"/>
          <w:color w:val="000000" w:themeColor="text1"/>
          <w:sz w:val="24"/>
          <w14:textFill>
            <w14:solidFill>
              <w14:schemeClr w14:val="tx1"/>
            </w14:solidFill>
          </w14:textFill>
        </w:rPr>
      </w:pPr>
      <w:bookmarkStart w:id="80" w:name="_Toc188966790"/>
      <w:r>
        <w:rPr>
          <w:rFonts w:asciiTheme="minorHAnsi" w:hAnsiTheme="minorHAnsi" w:cstheme="minorHAnsi"/>
          <w:color w:val="000000" w:themeColor="text1"/>
          <w:sz w:val="24"/>
          <w14:textFill>
            <w14:solidFill>
              <w14:schemeClr w14:val="tx1"/>
            </w14:solidFill>
          </w14:textFill>
        </w:rPr>
        <w:t>IMPLEMENTACIÓN Y EJECUCIÓN DEL PLAN ESTRATEGICO DE SEGURIDAD VIAL</w:t>
      </w:r>
      <w:bookmarkEnd w:id="80"/>
    </w:p>
    <w:p w14:paraId="12FF6DFD">
      <w:pPr>
        <w:pStyle w:val="3"/>
        <w:numPr>
          <w:ilvl w:val="1"/>
          <w:numId w:val="4"/>
        </w:numPr>
        <w:spacing w:after="0" w:line="276" w:lineRule="auto"/>
        <w:ind w:left="540" w:hanging="540"/>
        <w:rPr>
          <w:rFonts w:asciiTheme="minorHAnsi" w:hAnsiTheme="minorHAnsi" w:cstheme="minorHAnsi"/>
          <w:color w:val="auto"/>
          <w:sz w:val="24"/>
        </w:rPr>
      </w:pPr>
      <w:bookmarkStart w:id="81" w:name="_Toc188966791"/>
      <w:bookmarkStart w:id="82" w:name="_Toc519172524"/>
      <w:bookmarkStart w:id="83" w:name="_Toc497841882"/>
      <w:bookmarkStart w:id="84" w:name="_Toc496244134"/>
      <w:r>
        <w:rPr>
          <w:rFonts w:asciiTheme="minorHAnsi" w:hAnsiTheme="minorHAnsi" w:cstheme="minorHAnsi"/>
          <w:color w:val="auto"/>
          <w:sz w:val="24"/>
        </w:rPr>
        <w:t>PLAN ANUAL DE TRABAJO</w:t>
      </w:r>
      <w:bookmarkEnd w:id="81"/>
      <w:r>
        <w:rPr>
          <w:rFonts w:asciiTheme="minorHAnsi" w:hAnsiTheme="minorHAnsi" w:cstheme="minorHAnsi"/>
          <w:color w:val="auto"/>
          <w:sz w:val="24"/>
        </w:rPr>
        <w:t xml:space="preserve"> </w:t>
      </w:r>
      <w:bookmarkEnd w:id="82"/>
      <w:bookmarkEnd w:id="83"/>
      <w:bookmarkEnd w:id="84"/>
    </w:p>
    <w:p w14:paraId="6C2B3FF9">
      <w:pPr>
        <w:spacing w:line="276" w:lineRule="auto"/>
        <w:rPr>
          <w:rFonts w:asciiTheme="minorHAnsi" w:hAnsiTheme="minorHAnsi" w:cstheme="minorHAnsi"/>
          <w:sz w:val="24"/>
          <w:szCs w:val="24"/>
          <w:lang w:eastAsia="en-US"/>
        </w:rPr>
      </w:pPr>
    </w:p>
    <w:p w14:paraId="52423515">
      <w:pPr>
        <w:suppressAutoHyphens/>
        <w:spacing w:line="276" w:lineRule="auto"/>
        <w:rPr>
          <w:rFonts w:asciiTheme="minorHAnsi" w:hAnsiTheme="minorHAnsi" w:cstheme="minorHAnsi"/>
          <w:kern w:val="2"/>
          <w:sz w:val="24"/>
          <w:szCs w:val="24"/>
        </w:rPr>
      </w:pPr>
      <w:r>
        <w:rPr>
          <w:rFonts w:asciiTheme="minorHAnsi" w:hAnsiTheme="minorHAnsi" w:cstheme="minorHAnsi"/>
          <w:kern w:val="2"/>
          <w:sz w:val="24"/>
          <w:szCs w:val="24"/>
        </w:rPr>
        <w:t xml:space="preserve">Dentro del SG-SST, se diseñó y articulo un </w:t>
      </w:r>
      <w:r>
        <w:rPr>
          <w:rFonts w:asciiTheme="minorHAnsi" w:hAnsiTheme="minorHAnsi" w:cstheme="minorHAnsi"/>
          <w:color w:val="00B050"/>
          <w:kern w:val="2"/>
          <w:sz w:val="24"/>
          <w:szCs w:val="24"/>
        </w:rPr>
        <w:t>Plan estratégico</w:t>
      </w:r>
      <w:r>
        <w:rPr>
          <w:rFonts w:asciiTheme="minorHAnsi" w:hAnsiTheme="minorHAnsi" w:cstheme="minorHAnsi"/>
          <w:kern w:val="2"/>
          <w:sz w:val="24"/>
          <w:szCs w:val="24"/>
        </w:rPr>
        <w:t xml:space="preserve"> de seguridad vial, que dará acompañamiento a la planificación, ejecución y monitoreo, con el objetivo de poder hacer un seguimiento de las actividades y sus indicadores de cumplimiento. Allí se verá reflejado el plan de trabajo, las fechas definidas para cada acción planteada y los responsables para liderar cada acción propuesta, con el objetivo de desarrollar y mantener los requerimientos de cada uno de los</w:t>
      </w:r>
      <w:r>
        <w:rPr>
          <w:rFonts w:asciiTheme="minorHAnsi" w:hAnsiTheme="minorHAnsi" w:cstheme="minorHAnsi"/>
          <w:color w:val="00B050"/>
          <w:kern w:val="2"/>
          <w:sz w:val="24"/>
          <w:szCs w:val="24"/>
        </w:rPr>
        <w:t xml:space="preserve"> pasos</w:t>
      </w:r>
      <w:r>
        <w:rPr>
          <w:rFonts w:asciiTheme="minorHAnsi" w:hAnsiTheme="minorHAnsi" w:cstheme="minorHAnsi"/>
          <w:kern w:val="2"/>
          <w:sz w:val="24"/>
          <w:szCs w:val="24"/>
        </w:rPr>
        <w:t xml:space="preserve"> del PESV, este plan deberá realizarse en cada vigencia y debe responder a los elementos de la caracterización que se realizan en el primer trimestre, </w:t>
      </w:r>
      <w:commentRangeStart w:id="6"/>
      <w:r>
        <w:rPr>
          <w:rFonts w:asciiTheme="minorHAnsi" w:hAnsiTheme="minorHAnsi" w:cstheme="minorHAnsi"/>
          <w:kern w:val="2"/>
          <w:sz w:val="24"/>
          <w:szCs w:val="24"/>
          <w:highlight w:val="magenta"/>
        </w:rPr>
        <w:t>estará a cargo de cada regional</w:t>
      </w:r>
      <w:r>
        <w:rPr>
          <w:rFonts w:asciiTheme="minorHAnsi" w:hAnsiTheme="minorHAnsi" w:cstheme="minorHAnsi"/>
          <w:kern w:val="2"/>
          <w:sz w:val="24"/>
          <w:szCs w:val="24"/>
        </w:rPr>
        <w:t xml:space="preserve"> </w:t>
      </w:r>
      <w:commentRangeEnd w:id="6"/>
      <w:r>
        <w:rPr>
          <w:rStyle w:val="13"/>
          <w:rFonts w:eastAsia="Calibri" w:cs="Times New Roman"/>
          <w:lang w:eastAsia="en-US"/>
        </w:rPr>
        <w:commentReference w:id="6"/>
      </w:r>
      <w:r>
        <w:rPr>
          <w:rFonts w:asciiTheme="minorHAnsi" w:hAnsiTheme="minorHAnsi" w:cstheme="minorHAnsi"/>
          <w:kern w:val="2"/>
          <w:sz w:val="24"/>
          <w:szCs w:val="24"/>
        </w:rPr>
        <w:t xml:space="preserve">y deberá reportar las acciones </w:t>
      </w:r>
      <w:r>
        <w:rPr>
          <w:rFonts w:asciiTheme="minorHAnsi" w:hAnsiTheme="minorHAnsi" w:cstheme="minorHAnsi"/>
          <w:kern w:val="2"/>
          <w:sz w:val="24"/>
          <w:szCs w:val="24"/>
          <w:highlight w:val="yellow"/>
        </w:rPr>
        <w:t>al Líder del PESV</w:t>
      </w:r>
      <w:r>
        <w:rPr>
          <w:rFonts w:asciiTheme="minorHAnsi" w:hAnsiTheme="minorHAnsi" w:cstheme="minorHAnsi"/>
          <w:kern w:val="2"/>
          <w:sz w:val="24"/>
          <w:szCs w:val="24"/>
        </w:rPr>
        <w:t xml:space="preserve">. </w:t>
      </w:r>
    </w:p>
    <w:p w14:paraId="7664C5A6">
      <w:pPr>
        <w:suppressAutoHyphens/>
        <w:spacing w:line="276" w:lineRule="auto"/>
        <w:rPr>
          <w:rFonts w:asciiTheme="minorHAnsi" w:hAnsiTheme="minorHAnsi" w:cstheme="minorHAnsi"/>
          <w:b/>
          <w:bCs/>
          <w:sz w:val="24"/>
          <w:szCs w:val="24"/>
          <w:lang w:eastAsia="es-CO"/>
        </w:rPr>
      </w:pPr>
    </w:p>
    <w:p w14:paraId="3169703B">
      <w:pPr>
        <w:pStyle w:val="3"/>
        <w:numPr>
          <w:ilvl w:val="1"/>
          <w:numId w:val="4"/>
        </w:numPr>
        <w:spacing w:after="0" w:line="276" w:lineRule="auto"/>
        <w:ind w:left="540" w:hanging="540"/>
        <w:rPr>
          <w:rFonts w:asciiTheme="minorHAnsi" w:hAnsiTheme="minorHAnsi" w:cstheme="minorHAnsi"/>
          <w:color w:val="auto"/>
          <w:sz w:val="24"/>
        </w:rPr>
      </w:pPr>
      <w:bookmarkStart w:id="85" w:name="_Toc188966792"/>
      <w:r>
        <w:rPr>
          <w:rFonts w:asciiTheme="minorHAnsi" w:hAnsiTheme="minorHAnsi" w:cstheme="minorHAnsi"/>
          <w:color w:val="auto"/>
          <w:sz w:val="24"/>
        </w:rPr>
        <w:t>COMPETENCIA Y PLAN ANUAL DE FORMACIÓN</w:t>
      </w:r>
      <w:bookmarkEnd w:id="85"/>
    </w:p>
    <w:p w14:paraId="479D6767">
      <w:pPr>
        <w:suppressAutoHyphens/>
        <w:spacing w:line="276" w:lineRule="auto"/>
        <w:rPr>
          <w:rFonts w:asciiTheme="minorHAnsi" w:hAnsiTheme="minorHAnsi" w:cstheme="minorHAnsi"/>
          <w:b/>
          <w:bCs/>
          <w:sz w:val="24"/>
          <w:szCs w:val="24"/>
          <w:lang w:eastAsia="es-CO"/>
        </w:rPr>
      </w:pPr>
    </w:p>
    <w:p w14:paraId="4200BBF4">
      <w:pPr>
        <w:pStyle w:val="4"/>
        <w:numPr>
          <w:ilvl w:val="2"/>
          <w:numId w:val="29"/>
        </w:numPr>
        <w:spacing w:before="0"/>
        <w:rPr>
          <w:rFonts w:asciiTheme="minorHAnsi" w:hAnsiTheme="minorHAnsi" w:cstheme="minorHAnsi"/>
          <w:sz w:val="24"/>
          <w:szCs w:val="24"/>
        </w:rPr>
      </w:pPr>
      <w:bookmarkStart w:id="86" w:name="_Toc188966793"/>
      <w:r>
        <w:rPr>
          <w:rFonts w:asciiTheme="minorHAnsi" w:hAnsiTheme="minorHAnsi" w:cstheme="minorHAnsi"/>
          <w:sz w:val="24"/>
          <w:szCs w:val="24"/>
        </w:rPr>
        <w:t>COMPETENCIA EN SEGURIDAD VIAL</w:t>
      </w:r>
      <w:bookmarkEnd w:id="86"/>
    </w:p>
    <w:p w14:paraId="77EEAB71">
      <w:pPr>
        <w:suppressAutoHyphens/>
        <w:spacing w:line="276" w:lineRule="auto"/>
        <w:rPr>
          <w:rFonts w:asciiTheme="minorHAnsi" w:hAnsiTheme="minorHAnsi" w:cstheme="minorHAnsi"/>
          <w:b/>
          <w:bCs/>
          <w:sz w:val="24"/>
          <w:szCs w:val="24"/>
          <w:lang w:eastAsia="es-CO"/>
        </w:rPr>
      </w:pPr>
    </w:p>
    <w:p w14:paraId="1B3F633D">
      <w:pPr>
        <w:rPr>
          <w:rFonts w:asciiTheme="minorHAnsi" w:hAnsiTheme="minorHAnsi" w:cstheme="minorHAnsi"/>
          <w:kern w:val="2"/>
          <w:sz w:val="24"/>
          <w:szCs w:val="24"/>
        </w:rPr>
      </w:pPr>
      <w:r>
        <w:rPr>
          <w:rFonts w:asciiTheme="minorHAnsi" w:hAnsiTheme="minorHAnsi" w:cstheme="minorHAnsi"/>
          <w:kern w:val="2"/>
          <w:sz w:val="24"/>
          <w:szCs w:val="24"/>
        </w:rPr>
        <w:t>La organización define la competencia en seguridad vial de los siguientes roles:</w:t>
      </w:r>
    </w:p>
    <w:p w14:paraId="69CEE70F">
      <w:pPr>
        <w:rPr>
          <w:rFonts w:asciiTheme="minorHAnsi" w:hAnsiTheme="minorHAnsi" w:cstheme="minorHAnsi"/>
          <w:kern w:val="2"/>
          <w:sz w:val="24"/>
          <w:szCs w:val="24"/>
        </w:rPr>
      </w:pPr>
    </w:p>
    <w:p w14:paraId="41832ABA">
      <w:pPr>
        <w:numPr>
          <w:ilvl w:val="0"/>
          <w:numId w:val="30"/>
        </w:numPr>
        <w:pBdr>
          <w:top w:val="none" w:color="auto" w:sz="0" w:space="0"/>
          <w:left w:val="none" w:color="auto" w:sz="0" w:space="0"/>
          <w:bottom w:val="none" w:color="auto" w:sz="0" w:space="0"/>
          <w:right w:val="none" w:color="auto" w:sz="0" w:space="0"/>
          <w:between w:val="none" w:color="auto" w:sz="0" w:space="0"/>
        </w:pBdr>
        <w:rPr>
          <w:rFonts w:asciiTheme="minorHAnsi" w:hAnsiTheme="minorHAnsi" w:cstheme="minorHAnsi"/>
          <w:kern w:val="2"/>
          <w:sz w:val="24"/>
          <w:szCs w:val="24"/>
        </w:rPr>
      </w:pPr>
      <w:r>
        <w:rPr>
          <w:rFonts w:asciiTheme="minorHAnsi" w:hAnsiTheme="minorHAnsi" w:cstheme="minorHAnsi"/>
          <w:kern w:val="2"/>
          <w:sz w:val="24"/>
          <w:szCs w:val="24"/>
        </w:rPr>
        <w:t>Líder del diseño e implementación del PESV</w:t>
      </w:r>
    </w:p>
    <w:p w14:paraId="600AFA35">
      <w:pPr>
        <w:numPr>
          <w:ilvl w:val="0"/>
          <w:numId w:val="30"/>
        </w:numPr>
        <w:pBdr>
          <w:top w:val="none" w:color="auto" w:sz="0" w:space="0"/>
          <w:left w:val="none" w:color="auto" w:sz="0" w:space="0"/>
          <w:bottom w:val="none" w:color="auto" w:sz="0" w:space="0"/>
          <w:right w:val="none" w:color="auto" w:sz="0" w:space="0"/>
          <w:between w:val="none" w:color="auto" w:sz="0" w:space="0"/>
        </w:pBdr>
        <w:rPr>
          <w:rFonts w:asciiTheme="minorHAnsi" w:hAnsiTheme="minorHAnsi" w:cstheme="minorHAnsi"/>
          <w:kern w:val="2"/>
          <w:sz w:val="24"/>
          <w:szCs w:val="24"/>
        </w:rPr>
      </w:pPr>
      <w:r>
        <w:rPr>
          <w:rFonts w:asciiTheme="minorHAnsi" w:hAnsiTheme="minorHAnsi" w:cstheme="minorHAnsi"/>
          <w:kern w:val="2"/>
          <w:sz w:val="24"/>
          <w:szCs w:val="24"/>
        </w:rPr>
        <w:t>Integrantes del comité de seguridad vial</w:t>
      </w:r>
    </w:p>
    <w:p w14:paraId="202DBEE3">
      <w:pPr>
        <w:numPr>
          <w:ilvl w:val="0"/>
          <w:numId w:val="30"/>
        </w:numPr>
        <w:pBdr>
          <w:top w:val="none" w:color="auto" w:sz="0" w:space="0"/>
          <w:left w:val="none" w:color="auto" w:sz="0" w:space="0"/>
          <w:bottom w:val="none" w:color="auto" w:sz="0" w:space="0"/>
          <w:right w:val="none" w:color="auto" w:sz="0" w:space="0"/>
          <w:between w:val="none" w:color="auto" w:sz="0" w:space="0"/>
        </w:pBdr>
        <w:rPr>
          <w:rFonts w:asciiTheme="minorHAnsi" w:hAnsiTheme="minorHAnsi" w:cstheme="minorHAnsi"/>
          <w:kern w:val="2"/>
          <w:sz w:val="24"/>
          <w:szCs w:val="24"/>
        </w:rPr>
      </w:pPr>
      <w:r>
        <w:rPr>
          <w:rFonts w:asciiTheme="minorHAnsi" w:hAnsiTheme="minorHAnsi" w:cstheme="minorHAnsi"/>
          <w:kern w:val="2"/>
          <w:sz w:val="24"/>
          <w:szCs w:val="24"/>
        </w:rPr>
        <w:t xml:space="preserve">Capacitadores en seguridad vial. </w:t>
      </w:r>
    </w:p>
    <w:p w14:paraId="1600D911">
      <w:pPr>
        <w:numPr>
          <w:ilvl w:val="0"/>
          <w:numId w:val="30"/>
        </w:numPr>
        <w:pBdr>
          <w:top w:val="none" w:color="auto" w:sz="0" w:space="0"/>
          <w:left w:val="none" w:color="auto" w:sz="0" w:space="0"/>
          <w:bottom w:val="none" w:color="auto" w:sz="0" w:space="0"/>
          <w:right w:val="none" w:color="auto" w:sz="0" w:space="0"/>
          <w:between w:val="none" w:color="auto" w:sz="0" w:space="0"/>
        </w:pBdr>
        <w:rPr>
          <w:rFonts w:asciiTheme="minorHAnsi" w:hAnsiTheme="minorHAnsi" w:cstheme="minorHAnsi"/>
          <w:kern w:val="2"/>
          <w:sz w:val="24"/>
          <w:szCs w:val="24"/>
        </w:rPr>
      </w:pPr>
      <w:r>
        <w:rPr>
          <w:rFonts w:asciiTheme="minorHAnsi" w:hAnsiTheme="minorHAnsi" w:cstheme="minorHAnsi"/>
          <w:kern w:val="2"/>
          <w:sz w:val="24"/>
          <w:szCs w:val="24"/>
        </w:rPr>
        <w:t xml:space="preserve">Planificadores de rutas o personas que realizan la función de coordinar desplazamientos laborales </w:t>
      </w:r>
    </w:p>
    <w:p w14:paraId="39942968">
      <w:pPr>
        <w:numPr>
          <w:ilvl w:val="0"/>
          <w:numId w:val="30"/>
        </w:numPr>
        <w:pBdr>
          <w:top w:val="none" w:color="auto" w:sz="0" w:space="0"/>
          <w:left w:val="none" w:color="auto" w:sz="0" w:space="0"/>
          <w:bottom w:val="none" w:color="auto" w:sz="0" w:space="0"/>
          <w:right w:val="none" w:color="auto" w:sz="0" w:space="0"/>
          <w:between w:val="none" w:color="auto" w:sz="0" w:space="0"/>
        </w:pBdr>
        <w:rPr>
          <w:rFonts w:asciiTheme="minorHAnsi" w:hAnsiTheme="minorHAnsi" w:cstheme="minorHAnsi"/>
          <w:kern w:val="2"/>
          <w:sz w:val="24"/>
          <w:szCs w:val="24"/>
        </w:rPr>
      </w:pPr>
      <w:r>
        <w:rPr>
          <w:rFonts w:asciiTheme="minorHAnsi" w:hAnsiTheme="minorHAnsi" w:cstheme="minorHAnsi"/>
          <w:kern w:val="2"/>
          <w:sz w:val="24"/>
          <w:szCs w:val="24"/>
        </w:rPr>
        <w:t>Coordinadores y técnicos de mantenimiento de vehículos</w:t>
      </w:r>
    </w:p>
    <w:p w14:paraId="04055885">
      <w:pPr>
        <w:numPr>
          <w:ilvl w:val="0"/>
          <w:numId w:val="30"/>
        </w:numPr>
        <w:pBdr>
          <w:top w:val="none" w:color="auto" w:sz="0" w:space="0"/>
          <w:left w:val="none" w:color="auto" w:sz="0" w:space="0"/>
          <w:bottom w:val="none" w:color="auto" w:sz="0" w:space="0"/>
          <w:right w:val="none" w:color="auto" w:sz="0" w:space="0"/>
          <w:between w:val="none" w:color="auto" w:sz="0" w:space="0"/>
        </w:pBdr>
        <w:rPr>
          <w:rFonts w:asciiTheme="minorHAnsi" w:hAnsiTheme="minorHAnsi" w:cstheme="minorHAnsi"/>
          <w:kern w:val="2"/>
          <w:sz w:val="24"/>
          <w:szCs w:val="24"/>
        </w:rPr>
      </w:pPr>
      <w:r>
        <w:rPr>
          <w:rFonts w:asciiTheme="minorHAnsi" w:hAnsiTheme="minorHAnsi" w:cstheme="minorHAnsi"/>
          <w:kern w:val="2"/>
          <w:sz w:val="24"/>
          <w:szCs w:val="24"/>
        </w:rPr>
        <w:t xml:space="preserve">Auditores de seguridad vial. </w:t>
      </w:r>
    </w:p>
    <w:p w14:paraId="5C21A2B5">
      <w:pPr>
        <w:numPr>
          <w:ilvl w:val="0"/>
          <w:numId w:val="30"/>
        </w:numPr>
        <w:pBdr>
          <w:top w:val="none" w:color="auto" w:sz="0" w:space="0"/>
          <w:left w:val="none" w:color="auto" w:sz="0" w:space="0"/>
          <w:bottom w:val="none" w:color="auto" w:sz="0" w:space="0"/>
          <w:right w:val="none" w:color="auto" w:sz="0" w:space="0"/>
          <w:between w:val="none" w:color="auto" w:sz="0" w:space="0"/>
        </w:pBdr>
        <w:rPr>
          <w:rFonts w:asciiTheme="minorHAnsi" w:hAnsiTheme="minorHAnsi" w:cstheme="minorHAnsi"/>
          <w:kern w:val="2"/>
          <w:sz w:val="24"/>
          <w:szCs w:val="24"/>
        </w:rPr>
      </w:pPr>
      <w:r>
        <w:rPr>
          <w:rFonts w:asciiTheme="minorHAnsi" w:hAnsiTheme="minorHAnsi" w:cstheme="minorHAnsi"/>
          <w:kern w:val="2"/>
          <w:sz w:val="24"/>
          <w:szCs w:val="24"/>
        </w:rPr>
        <w:t>Brigadista Vial</w:t>
      </w:r>
    </w:p>
    <w:p w14:paraId="116BE308">
      <w:pPr>
        <w:numPr>
          <w:ilvl w:val="0"/>
          <w:numId w:val="30"/>
        </w:numPr>
        <w:pBdr>
          <w:top w:val="none" w:color="auto" w:sz="0" w:space="0"/>
          <w:left w:val="none" w:color="auto" w:sz="0" w:space="0"/>
          <w:bottom w:val="none" w:color="auto" w:sz="0" w:space="0"/>
          <w:right w:val="none" w:color="auto" w:sz="0" w:space="0"/>
          <w:between w:val="none" w:color="auto" w:sz="0" w:space="0"/>
        </w:pBdr>
        <w:rPr>
          <w:rFonts w:asciiTheme="minorHAnsi" w:hAnsiTheme="minorHAnsi" w:cstheme="minorHAnsi"/>
          <w:kern w:val="2"/>
          <w:sz w:val="24"/>
          <w:szCs w:val="24"/>
        </w:rPr>
      </w:pPr>
      <w:r>
        <w:rPr>
          <w:rFonts w:asciiTheme="minorHAnsi" w:hAnsiTheme="minorHAnsi" w:cstheme="minorHAnsi"/>
          <w:kern w:val="2"/>
          <w:sz w:val="24"/>
          <w:szCs w:val="24"/>
        </w:rPr>
        <w:t xml:space="preserve">Investigadores internos de siniestros viales. </w:t>
      </w:r>
    </w:p>
    <w:p w14:paraId="38624447">
      <w:pPr>
        <w:numPr>
          <w:ilvl w:val="0"/>
          <w:numId w:val="30"/>
        </w:numPr>
        <w:pBdr>
          <w:top w:val="none" w:color="auto" w:sz="0" w:space="0"/>
          <w:left w:val="none" w:color="auto" w:sz="0" w:space="0"/>
          <w:bottom w:val="none" w:color="auto" w:sz="0" w:space="0"/>
          <w:right w:val="none" w:color="auto" w:sz="0" w:space="0"/>
          <w:between w:val="none" w:color="auto" w:sz="0" w:space="0"/>
        </w:pBdr>
        <w:rPr>
          <w:rFonts w:asciiTheme="minorHAnsi" w:hAnsiTheme="minorHAnsi" w:cstheme="minorHAnsi"/>
          <w:kern w:val="2"/>
          <w:sz w:val="24"/>
          <w:szCs w:val="24"/>
        </w:rPr>
      </w:pPr>
      <w:r>
        <w:rPr>
          <w:rFonts w:asciiTheme="minorHAnsi" w:hAnsiTheme="minorHAnsi" w:cstheme="minorHAnsi"/>
          <w:kern w:val="2"/>
          <w:sz w:val="24"/>
          <w:szCs w:val="24"/>
        </w:rPr>
        <w:t>Colaboradores que conducen un vehículo para sus desplazamientos laborales</w:t>
      </w:r>
    </w:p>
    <w:p w14:paraId="1F526E68">
      <w:pPr>
        <w:pBdr>
          <w:top w:val="none" w:color="auto" w:sz="0" w:space="0"/>
          <w:left w:val="none" w:color="auto" w:sz="0" w:space="0"/>
          <w:bottom w:val="none" w:color="auto" w:sz="0" w:space="0"/>
          <w:right w:val="none" w:color="auto" w:sz="0" w:space="0"/>
          <w:between w:val="none" w:color="auto" w:sz="0" w:space="0"/>
        </w:pBdr>
        <w:rPr>
          <w:rFonts w:asciiTheme="minorHAnsi" w:hAnsiTheme="minorHAnsi" w:cstheme="minorHAnsi"/>
          <w:kern w:val="2"/>
          <w:sz w:val="24"/>
          <w:szCs w:val="24"/>
        </w:rPr>
      </w:pPr>
    </w:p>
    <w:p w14:paraId="11ACA7CC">
      <w:pPr>
        <w:rPr>
          <w:rFonts w:ascii="Arial" w:hAnsi="Arial"/>
          <w:b/>
          <w:sz w:val="24"/>
          <w:szCs w:val="24"/>
          <w:lang w:eastAsia="es-CO"/>
        </w:rPr>
      </w:pPr>
      <w:r>
        <w:rPr>
          <w:rFonts w:ascii="Arial" w:hAnsi="Arial"/>
          <w:b/>
          <w:sz w:val="24"/>
          <w:szCs w:val="24"/>
          <w:highlight w:val="yellow"/>
          <w:lang w:eastAsia="es-CO"/>
        </w:rPr>
        <w:t>Relacionar el documento que contendrá las competencias en seguridad vial.</w:t>
      </w:r>
      <w:r>
        <w:rPr>
          <w:rFonts w:ascii="Arial" w:hAnsi="Arial"/>
          <w:b/>
          <w:sz w:val="24"/>
          <w:szCs w:val="24"/>
          <w:lang w:eastAsia="es-CO"/>
        </w:rPr>
        <w:t xml:space="preserve"> </w:t>
      </w:r>
    </w:p>
    <w:p w14:paraId="63C37C01">
      <w:pPr>
        <w:rPr>
          <w:rFonts w:ascii="Arial" w:hAnsi="Arial"/>
          <w:b/>
          <w:sz w:val="24"/>
          <w:szCs w:val="24"/>
          <w:lang w:eastAsia="es-CO"/>
        </w:rPr>
      </w:pPr>
    </w:p>
    <w:p w14:paraId="6B3EB67E">
      <w:pPr>
        <w:rPr>
          <w:b/>
          <w:bCs/>
        </w:rPr>
      </w:pPr>
      <w:bookmarkStart w:id="87" w:name="_Toc519172530"/>
      <w:commentRangeStart w:id="7"/>
      <w:r>
        <w:rPr>
          <w:b/>
          <w:bCs/>
        </w:rPr>
        <w:t>PERFIL DE CONDUCTORES</w:t>
      </w:r>
      <w:bookmarkEnd w:id="87"/>
      <w:commentRangeEnd w:id="7"/>
      <w:r>
        <w:rPr>
          <w:rStyle w:val="13"/>
          <w:rFonts w:eastAsia="Calibri"/>
          <w:b/>
          <w:bCs/>
          <w:lang w:eastAsia="en-US"/>
        </w:rPr>
        <w:commentReference w:id="7"/>
      </w:r>
    </w:p>
    <w:p w14:paraId="5FEBF9E8">
      <w:pPr>
        <w:spacing w:line="276" w:lineRule="auto"/>
        <w:rPr>
          <w:rFonts w:asciiTheme="minorHAnsi" w:hAnsiTheme="minorHAnsi" w:cstheme="minorHAnsi"/>
          <w:sz w:val="24"/>
          <w:szCs w:val="24"/>
        </w:rPr>
      </w:pPr>
    </w:p>
    <w:p w14:paraId="7ADF161D">
      <w:pPr>
        <w:autoSpaceDE w:val="0"/>
        <w:autoSpaceDN w:val="0"/>
        <w:adjustRightInd w:val="0"/>
        <w:spacing w:line="276" w:lineRule="auto"/>
        <w:rPr>
          <w:rFonts w:eastAsia="Calibri" w:asciiTheme="minorHAnsi" w:hAnsiTheme="minorHAnsi" w:cstheme="minorHAnsi"/>
          <w:sz w:val="24"/>
          <w:szCs w:val="24"/>
          <w:lang w:eastAsia="en-US"/>
        </w:rPr>
      </w:pPr>
      <w:r>
        <w:rPr>
          <w:rFonts w:asciiTheme="minorHAnsi" w:hAnsiTheme="minorHAnsi" w:cstheme="minorHAnsi"/>
          <w:sz w:val="24"/>
          <w:szCs w:val="24"/>
        </w:rPr>
        <w:t xml:space="preserve">El SENA requiere para el fortalecimiento los pilares de la gestión institucional y de vehículos seguros, que se </w:t>
      </w:r>
      <w:r>
        <w:rPr>
          <w:rFonts w:asciiTheme="minorHAnsi" w:hAnsiTheme="minorHAnsi" w:cstheme="minorHAnsi"/>
          <w:sz w:val="24"/>
          <w:szCs w:val="24"/>
          <w:highlight w:val="yellow"/>
        </w:rPr>
        <w:t>establezca a partir de la entrada en vigencia del plan estratégico PESV y en adelante, la nivelación de todos los conductores de la entidad</w:t>
      </w:r>
      <w:r>
        <w:rPr>
          <w:rFonts w:asciiTheme="minorHAnsi" w:hAnsiTheme="minorHAnsi" w:cstheme="minorHAnsi"/>
          <w:sz w:val="24"/>
          <w:szCs w:val="24"/>
        </w:rPr>
        <w:t xml:space="preserve"> (funcionarios, trabajadores oficiales, contratistas y demás personal autorizado), con el requisito fundamental de que debe contar con licencia categoría C2 como mínimo, esto debido al tipo de vehículos con los que cuenta la entidad y que cada conductor esta autorizad en algunos casos para operar varios vehículos, como parte del esclarecimiento de </w:t>
      </w:r>
      <w:r>
        <w:rPr>
          <w:rFonts w:eastAsia="Calibri" w:asciiTheme="minorHAnsi" w:hAnsiTheme="minorHAnsi" w:cstheme="minorHAnsi"/>
          <w:sz w:val="24"/>
          <w:szCs w:val="24"/>
          <w:lang w:eastAsia="en-US"/>
        </w:rPr>
        <w:t>las funciones, habilidades y conocimientos generales para el cargo</w:t>
      </w:r>
      <w:r>
        <w:rPr>
          <w:rFonts w:asciiTheme="minorHAnsi" w:hAnsiTheme="minorHAnsi" w:cstheme="minorHAnsi"/>
          <w:sz w:val="24"/>
          <w:szCs w:val="24"/>
        </w:rPr>
        <w:t xml:space="preserve">, </w:t>
      </w:r>
      <w:r>
        <w:rPr>
          <w:rFonts w:asciiTheme="minorHAnsi" w:hAnsiTheme="minorHAnsi" w:cstheme="minorHAnsi"/>
          <w:sz w:val="24"/>
          <w:szCs w:val="24"/>
          <w:highlight w:val="yellow"/>
        </w:rPr>
        <w:t xml:space="preserve">la institución ha documentado un manual de Clasificación nacional de ocupaciones C.N.O, </w:t>
      </w:r>
      <w:r>
        <w:rPr>
          <w:rFonts w:eastAsia="Calibri" w:asciiTheme="minorHAnsi" w:hAnsiTheme="minorHAnsi" w:cstheme="minorHAnsi"/>
          <w:sz w:val="24"/>
          <w:szCs w:val="24"/>
          <w:highlight w:val="yellow"/>
          <w:lang w:eastAsia="en-US"/>
        </w:rPr>
        <w:t xml:space="preserve">en donde se presenta la organización sistemática de las Ocupaciones existentes en el mercado laboral </w:t>
      </w:r>
      <w:commentRangeStart w:id="8"/>
      <w:r>
        <w:rPr>
          <w:rFonts w:eastAsia="Calibri" w:asciiTheme="minorHAnsi" w:hAnsiTheme="minorHAnsi" w:cstheme="minorHAnsi"/>
          <w:sz w:val="24"/>
          <w:szCs w:val="24"/>
          <w:highlight w:val="yellow"/>
          <w:lang w:eastAsia="en-US"/>
        </w:rPr>
        <w:t>colombiano</w:t>
      </w:r>
      <w:commentRangeEnd w:id="8"/>
      <w:r>
        <w:rPr>
          <w:rStyle w:val="13"/>
          <w:rFonts w:eastAsia="Calibri" w:cs="Times New Roman"/>
          <w:lang w:eastAsia="en-US"/>
        </w:rPr>
        <w:commentReference w:id="8"/>
      </w:r>
      <w:r>
        <w:rPr>
          <w:rFonts w:eastAsia="Calibri" w:asciiTheme="minorHAnsi" w:hAnsiTheme="minorHAnsi" w:cstheme="minorHAnsi"/>
          <w:sz w:val="24"/>
          <w:szCs w:val="24"/>
          <w:highlight w:val="yellow"/>
          <w:lang w:eastAsia="en-US"/>
        </w:rPr>
        <w:t>.</w:t>
      </w:r>
    </w:p>
    <w:p w14:paraId="5B6058C2">
      <w:pPr>
        <w:autoSpaceDE w:val="0"/>
        <w:autoSpaceDN w:val="0"/>
        <w:adjustRightInd w:val="0"/>
        <w:spacing w:line="276" w:lineRule="auto"/>
        <w:rPr>
          <w:rFonts w:asciiTheme="minorHAnsi" w:hAnsiTheme="minorHAnsi" w:cstheme="minorHAnsi"/>
          <w:sz w:val="24"/>
          <w:szCs w:val="24"/>
        </w:rPr>
      </w:pPr>
    </w:p>
    <w:p w14:paraId="1A39FEFE">
      <w:pPr>
        <w:autoSpaceDE w:val="0"/>
        <w:autoSpaceDN w:val="0"/>
        <w:adjustRightInd w:val="0"/>
        <w:spacing w:line="276" w:lineRule="auto"/>
        <w:rPr>
          <w:rFonts w:asciiTheme="minorHAnsi" w:hAnsiTheme="minorHAnsi" w:cstheme="minorHAnsi"/>
          <w:sz w:val="24"/>
          <w:szCs w:val="24"/>
        </w:rPr>
      </w:pPr>
      <w:r>
        <w:rPr>
          <w:rFonts w:asciiTheme="minorHAnsi" w:hAnsiTheme="minorHAnsi" w:cstheme="minorHAnsi"/>
          <w:sz w:val="24"/>
          <w:szCs w:val="24"/>
        </w:rPr>
        <w:t>Para cualquier consulta dirigirse al</w:t>
      </w:r>
      <w:r>
        <w:rPr>
          <w:rFonts w:asciiTheme="minorHAnsi" w:hAnsiTheme="minorHAnsi" w:cstheme="minorHAnsi"/>
          <w:b/>
          <w:i/>
          <w:sz w:val="24"/>
          <w:szCs w:val="24"/>
        </w:rPr>
        <w:t xml:space="preserve"> </w:t>
      </w:r>
      <w:r>
        <w:rPr>
          <w:rFonts w:asciiTheme="minorHAnsi" w:hAnsiTheme="minorHAnsi" w:cstheme="minorHAnsi"/>
          <w:sz w:val="24"/>
          <w:szCs w:val="24"/>
        </w:rPr>
        <w:t>Manual de Clasificación nacional de ocupaciones C.N.O</w:t>
      </w:r>
      <w:r>
        <w:rPr>
          <w:rFonts w:asciiTheme="minorHAnsi" w:hAnsiTheme="minorHAnsi" w:cstheme="minorHAnsi"/>
          <w:i/>
          <w:sz w:val="24"/>
          <w:szCs w:val="24"/>
        </w:rPr>
        <w:t xml:space="preserve">, </w:t>
      </w:r>
      <w:r>
        <w:rPr>
          <w:rFonts w:asciiTheme="minorHAnsi" w:hAnsiTheme="minorHAnsi" w:cstheme="minorHAnsi"/>
          <w:sz w:val="24"/>
          <w:szCs w:val="24"/>
        </w:rPr>
        <w:t>en donde se  puede consultar la información de manera más específica.</w:t>
      </w:r>
    </w:p>
    <w:p w14:paraId="3DF81B0F">
      <w:pPr>
        <w:autoSpaceDE w:val="0"/>
        <w:autoSpaceDN w:val="0"/>
        <w:adjustRightInd w:val="0"/>
        <w:spacing w:line="276" w:lineRule="auto"/>
        <w:rPr>
          <w:rFonts w:asciiTheme="minorHAnsi" w:hAnsiTheme="minorHAnsi" w:cstheme="minorHAnsi"/>
          <w:sz w:val="24"/>
          <w:szCs w:val="24"/>
        </w:rPr>
      </w:pPr>
    </w:p>
    <w:p w14:paraId="7232DE8B">
      <w:pPr>
        <w:autoSpaceDE w:val="0"/>
        <w:autoSpaceDN w:val="0"/>
        <w:adjustRightInd w:val="0"/>
        <w:spacing w:line="276" w:lineRule="auto"/>
        <w:ind w:left="708"/>
        <w:rPr>
          <w:rFonts w:eastAsia="Calibri" w:asciiTheme="minorHAnsi" w:hAnsiTheme="minorHAnsi" w:cstheme="minorHAnsi"/>
          <w:bCs/>
          <w:i/>
          <w:sz w:val="24"/>
          <w:szCs w:val="24"/>
          <w:lang w:eastAsia="en-US"/>
        </w:rPr>
      </w:pPr>
      <w:r>
        <w:rPr>
          <w:rFonts w:eastAsia="Calibri" w:asciiTheme="minorHAnsi" w:hAnsiTheme="minorHAnsi" w:cstheme="minorHAnsi"/>
          <w:bCs/>
          <w:i/>
          <w:sz w:val="24"/>
          <w:szCs w:val="24"/>
          <w:lang w:eastAsia="en-US"/>
        </w:rPr>
        <w:t>Área Ocupacional 83 – 84: OFICIOS Y OCUPACIONES EN TRANSPORTE, OPERACIÓN DE EQUIPO, INSTALACIÓN Y MANTENIMIENTO</w:t>
      </w:r>
    </w:p>
    <w:p w14:paraId="0B738EEC">
      <w:pPr>
        <w:rPr>
          <w:rFonts w:ascii="Arial" w:hAnsi="Arial"/>
          <w:b/>
          <w:sz w:val="24"/>
          <w:szCs w:val="24"/>
          <w:lang w:eastAsia="es-CO"/>
        </w:rPr>
      </w:pPr>
    </w:p>
    <w:p w14:paraId="1ACF89EF">
      <w:pPr>
        <w:pBdr>
          <w:top w:val="none" w:color="auto" w:sz="0" w:space="0"/>
          <w:left w:val="none" w:color="auto" w:sz="0" w:space="0"/>
          <w:bottom w:val="none" w:color="auto" w:sz="0" w:space="0"/>
          <w:right w:val="none" w:color="auto" w:sz="0" w:space="0"/>
          <w:between w:val="none" w:color="auto" w:sz="0" w:space="0"/>
        </w:pBdr>
        <w:rPr>
          <w:rFonts w:asciiTheme="minorHAnsi" w:hAnsiTheme="minorHAnsi" w:cstheme="minorHAnsi"/>
          <w:kern w:val="2"/>
          <w:sz w:val="24"/>
          <w:szCs w:val="24"/>
        </w:rPr>
      </w:pPr>
    </w:p>
    <w:p w14:paraId="371B849D">
      <w:pPr>
        <w:pStyle w:val="4"/>
        <w:numPr>
          <w:ilvl w:val="2"/>
          <w:numId w:val="29"/>
        </w:numPr>
        <w:spacing w:before="0"/>
        <w:rPr>
          <w:rFonts w:asciiTheme="minorHAnsi" w:hAnsiTheme="minorHAnsi" w:cstheme="minorHAnsi"/>
          <w:sz w:val="24"/>
          <w:szCs w:val="24"/>
        </w:rPr>
      </w:pPr>
      <w:bookmarkStart w:id="88" w:name="_Toc188966794"/>
      <w:r>
        <w:rPr>
          <w:rFonts w:asciiTheme="minorHAnsi" w:hAnsiTheme="minorHAnsi" w:cstheme="minorHAnsi"/>
          <w:sz w:val="24"/>
          <w:szCs w:val="24"/>
        </w:rPr>
        <w:t>PLAN ANUAL DE FORMACIÓN</w:t>
      </w:r>
      <w:bookmarkEnd w:id="88"/>
      <w:r>
        <w:rPr>
          <w:rFonts w:asciiTheme="minorHAnsi" w:hAnsiTheme="minorHAnsi" w:cstheme="minorHAnsi"/>
          <w:sz w:val="24"/>
          <w:szCs w:val="24"/>
        </w:rPr>
        <w:t xml:space="preserve"> </w:t>
      </w:r>
    </w:p>
    <w:p w14:paraId="5AD71C91">
      <w:pPr>
        <w:suppressAutoHyphens/>
        <w:spacing w:line="276" w:lineRule="auto"/>
        <w:rPr>
          <w:rFonts w:asciiTheme="minorHAnsi" w:hAnsiTheme="minorHAnsi" w:cstheme="minorHAnsi"/>
          <w:b/>
          <w:bCs/>
          <w:sz w:val="24"/>
          <w:szCs w:val="24"/>
          <w:lang w:eastAsia="es-CO"/>
        </w:rPr>
      </w:pPr>
    </w:p>
    <w:p w14:paraId="6C295CB2">
      <w:pPr>
        <w:rPr>
          <w:rFonts w:asciiTheme="minorHAnsi" w:hAnsiTheme="minorHAnsi" w:cstheme="minorHAnsi"/>
          <w:sz w:val="24"/>
          <w:szCs w:val="24"/>
          <w:lang w:eastAsia="es-CO"/>
        </w:rPr>
      </w:pPr>
      <w:r>
        <w:rPr>
          <w:rFonts w:asciiTheme="minorHAnsi" w:hAnsiTheme="minorHAnsi" w:cstheme="minorHAnsi"/>
          <w:sz w:val="24"/>
          <w:szCs w:val="24"/>
          <w:lang w:eastAsia="es-CO"/>
        </w:rPr>
        <w:t>El SENA establece los lineamientos generales de sensibilización y capacitación para promover en los colaboradores de la organización la formación de hábitos, comportamientos y conductas seguras en la vía.</w:t>
      </w:r>
    </w:p>
    <w:p w14:paraId="0096FDD4">
      <w:pPr>
        <w:rPr>
          <w:rFonts w:asciiTheme="minorHAnsi" w:hAnsiTheme="minorHAnsi" w:cstheme="minorHAnsi"/>
          <w:sz w:val="24"/>
          <w:szCs w:val="24"/>
          <w:lang w:eastAsia="es-CO"/>
        </w:rPr>
      </w:pPr>
    </w:p>
    <w:p w14:paraId="7492D406">
      <w:pPr>
        <w:suppressAutoHyphens/>
        <w:spacing w:line="276" w:lineRule="auto"/>
        <w:rPr>
          <w:rFonts w:asciiTheme="minorHAnsi" w:hAnsiTheme="minorHAnsi" w:cstheme="minorHAnsi"/>
          <w:sz w:val="24"/>
          <w:szCs w:val="24"/>
          <w:lang w:eastAsia="es-CO"/>
        </w:rPr>
      </w:pPr>
    </w:p>
    <w:p w14:paraId="72D51918">
      <w:pPr>
        <w:pStyle w:val="5"/>
        <w:numPr>
          <w:ilvl w:val="3"/>
          <w:numId w:val="31"/>
        </w:numPr>
        <w:spacing w:before="0"/>
        <w:rPr>
          <w:rFonts w:asciiTheme="minorHAnsi" w:hAnsiTheme="minorHAnsi" w:cstheme="minorHAnsi"/>
          <w:sz w:val="24"/>
          <w:szCs w:val="24"/>
        </w:rPr>
      </w:pPr>
      <w:r>
        <w:rPr>
          <w:rFonts w:asciiTheme="minorHAnsi" w:hAnsiTheme="minorHAnsi" w:cstheme="minorHAnsi"/>
          <w:sz w:val="24"/>
          <w:szCs w:val="24"/>
        </w:rPr>
        <w:t>Inducción</w:t>
      </w:r>
    </w:p>
    <w:p w14:paraId="7430A24E">
      <w:pPr>
        <w:spacing w:line="276" w:lineRule="auto"/>
        <w:rPr>
          <w:rFonts w:asciiTheme="minorHAnsi" w:hAnsiTheme="minorHAnsi" w:cstheme="minorHAnsi"/>
          <w:sz w:val="24"/>
          <w:szCs w:val="24"/>
          <w:lang w:eastAsia="es-CO"/>
        </w:rPr>
      </w:pPr>
    </w:p>
    <w:p w14:paraId="08CF7C75">
      <w:pPr>
        <w:spacing w:line="276" w:lineRule="auto"/>
        <w:rPr>
          <w:rFonts w:asciiTheme="minorHAnsi" w:hAnsiTheme="minorHAnsi" w:cstheme="minorHAnsi"/>
          <w:sz w:val="24"/>
          <w:szCs w:val="24"/>
        </w:rPr>
      </w:pPr>
      <w:r>
        <w:rPr>
          <w:rFonts w:asciiTheme="minorHAnsi" w:hAnsiTheme="minorHAnsi" w:cstheme="minorHAnsi"/>
          <w:sz w:val="24"/>
          <w:szCs w:val="24"/>
        </w:rPr>
        <w:t xml:space="preserve">El plan de Inducción a los </w:t>
      </w:r>
      <w:r>
        <w:rPr>
          <w:rFonts w:asciiTheme="minorHAnsi" w:hAnsiTheme="minorHAnsi" w:cstheme="minorHAnsi"/>
          <w:color w:val="00B050"/>
          <w:sz w:val="24"/>
          <w:szCs w:val="24"/>
        </w:rPr>
        <w:t>colaboradores</w:t>
      </w:r>
      <w:r>
        <w:rPr>
          <w:rFonts w:asciiTheme="minorHAnsi" w:hAnsiTheme="minorHAnsi" w:cstheme="minorHAnsi"/>
          <w:sz w:val="24"/>
          <w:szCs w:val="24"/>
        </w:rPr>
        <w:t xml:space="preserve"> que están expuestos al riesgo vial contempla los siguientes aspectos, las modalidades de capacitación pueden ser tanto presencial como virtual, esta capacitación puede ser tomada gradualmente. Este proceso de inducción tiene cobertura y es exigible a personal directo y contratistas del SENA.</w:t>
      </w:r>
    </w:p>
    <w:p w14:paraId="1AE63A32">
      <w:pPr>
        <w:spacing w:line="276" w:lineRule="auto"/>
        <w:ind w:left="708"/>
        <w:rPr>
          <w:rFonts w:asciiTheme="minorHAnsi" w:hAnsiTheme="minorHAnsi" w:cstheme="minorHAnsi"/>
          <w:sz w:val="24"/>
          <w:szCs w:val="24"/>
        </w:rPr>
      </w:pPr>
    </w:p>
    <w:p w14:paraId="0D5351A8">
      <w:pPr>
        <w:numPr>
          <w:ilvl w:val="0"/>
          <w:numId w:val="32"/>
        </w:numPr>
        <w:tabs>
          <w:tab w:val="left" w:pos="1134"/>
          <w:tab w:val="clear" w:pos="1854"/>
        </w:tabs>
        <w:spacing w:line="276" w:lineRule="auto"/>
        <w:ind w:left="540" w:hanging="540"/>
        <w:rPr>
          <w:rFonts w:asciiTheme="minorHAnsi" w:hAnsiTheme="minorHAnsi" w:cstheme="minorHAnsi"/>
          <w:sz w:val="24"/>
          <w:szCs w:val="24"/>
        </w:rPr>
      </w:pPr>
      <w:r>
        <w:rPr>
          <w:rFonts w:asciiTheme="minorHAnsi" w:hAnsiTheme="minorHAnsi" w:cstheme="minorHAnsi"/>
          <w:sz w:val="24"/>
          <w:szCs w:val="24"/>
        </w:rPr>
        <w:t>Inducción en Seguridad y Salud en el trabajo.</w:t>
      </w:r>
    </w:p>
    <w:p w14:paraId="50704411">
      <w:pPr>
        <w:numPr>
          <w:ilvl w:val="0"/>
          <w:numId w:val="32"/>
        </w:numPr>
        <w:tabs>
          <w:tab w:val="left" w:pos="1134"/>
          <w:tab w:val="clear" w:pos="1854"/>
        </w:tabs>
        <w:spacing w:line="276" w:lineRule="auto"/>
        <w:ind w:left="540" w:hanging="540"/>
        <w:rPr>
          <w:rFonts w:asciiTheme="minorHAnsi" w:hAnsiTheme="minorHAnsi" w:cstheme="minorHAnsi"/>
          <w:sz w:val="24"/>
          <w:szCs w:val="24"/>
        </w:rPr>
      </w:pPr>
      <w:r>
        <w:rPr>
          <w:rFonts w:asciiTheme="minorHAnsi" w:hAnsiTheme="minorHAnsi" w:cstheme="minorHAnsi"/>
          <w:sz w:val="24"/>
          <w:szCs w:val="24"/>
        </w:rPr>
        <w:t>Jornadas de capacitación en seguridad vial para los usuarios de vía, según rol que aplique.</w:t>
      </w:r>
    </w:p>
    <w:p w14:paraId="7DF01631">
      <w:pPr>
        <w:numPr>
          <w:ilvl w:val="0"/>
          <w:numId w:val="32"/>
        </w:numPr>
        <w:tabs>
          <w:tab w:val="left" w:pos="1134"/>
          <w:tab w:val="clear" w:pos="1854"/>
        </w:tabs>
        <w:spacing w:line="276" w:lineRule="auto"/>
        <w:ind w:left="540" w:hanging="540"/>
        <w:rPr>
          <w:rFonts w:asciiTheme="minorHAnsi" w:hAnsiTheme="minorHAnsi" w:cstheme="minorHAnsi"/>
          <w:sz w:val="24"/>
          <w:szCs w:val="24"/>
        </w:rPr>
      </w:pPr>
      <w:r>
        <w:rPr>
          <w:rFonts w:asciiTheme="minorHAnsi" w:hAnsiTheme="minorHAnsi" w:cstheme="minorHAnsi"/>
          <w:sz w:val="24"/>
          <w:szCs w:val="24"/>
        </w:rPr>
        <w:t>Jornadas de capacitación en seguridad vial para conductores.</w:t>
      </w:r>
    </w:p>
    <w:p w14:paraId="7E9043B8">
      <w:pPr>
        <w:numPr>
          <w:ilvl w:val="0"/>
          <w:numId w:val="32"/>
        </w:numPr>
        <w:tabs>
          <w:tab w:val="left" w:pos="1134"/>
          <w:tab w:val="clear" w:pos="1854"/>
        </w:tabs>
        <w:spacing w:line="276" w:lineRule="auto"/>
        <w:ind w:left="540" w:hanging="540"/>
        <w:rPr>
          <w:rFonts w:asciiTheme="minorHAnsi" w:hAnsiTheme="minorHAnsi" w:cstheme="minorHAnsi"/>
          <w:sz w:val="24"/>
          <w:szCs w:val="24"/>
        </w:rPr>
      </w:pPr>
      <w:r>
        <w:rPr>
          <w:rFonts w:asciiTheme="minorHAnsi" w:hAnsiTheme="minorHAnsi" w:cstheme="minorHAnsi"/>
          <w:sz w:val="24"/>
          <w:szCs w:val="24"/>
        </w:rPr>
        <w:t>Capacitación en manejo defensivo (Para conductores SENA)</w:t>
      </w:r>
    </w:p>
    <w:p w14:paraId="7F82D5A9">
      <w:pPr>
        <w:numPr>
          <w:ilvl w:val="0"/>
          <w:numId w:val="32"/>
        </w:numPr>
        <w:tabs>
          <w:tab w:val="left" w:pos="1134"/>
          <w:tab w:val="clear" w:pos="1854"/>
        </w:tabs>
        <w:spacing w:line="276" w:lineRule="auto"/>
        <w:ind w:left="540" w:hanging="540"/>
        <w:rPr>
          <w:rFonts w:asciiTheme="minorHAnsi" w:hAnsiTheme="minorHAnsi" w:cstheme="minorHAnsi"/>
          <w:sz w:val="24"/>
          <w:szCs w:val="24"/>
        </w:rPr>
      </w:pPr>
      <w:r>
        <w:rPr>
          <w:rFonts w:asciiTheme="minorHAnsi" w:hAnsiTheme="minorHAnsi" w:cstheme="minorHAnsi"/>
          <w:sz w:val="24"/>
          <w:szCs w:val="24"/>
        </w:rPr>
        <w:t>Capacitación en mecánica básica (Para conductores SENA)</w:t>
      </w:r>
    </w:p>
    <w:p w14:paraId="594BC348">
      <w:pPr>
        <w:numPr>
          <w:ilvl w:val="0"/>
          <w:numId w:val="32"/>
        </w:numPr>
        <w:tabs>
          <w:tab w:val="left" w:pos="1134"/>
          <w:tab w:val="clear" w:pos="1854"/>
        </w:tabs>
        <w:spacing w:line="276" w:lineRule="auto"/>
        <w:ind w:left="540" w:hanging="540"/>
        <w:rPr>
          <w:rFonts w:asciiTheme="minorHAnsi" w:hAnsiTheme="minorHAnsi" w:cstheme="minorHAnsi"/>
          <w:sz w:val="24"/>
          <w:szCs w:val="24"/>
        </w:rPr>
      </w:pPr>
      <w:r>
        <w:rPr>
          <w:rFonts w:asciiTheme="minorHAnsi" w:hAnsiTheme="minorHAnsi" w:cstheme="minorHAnsi"/>
          <w:sz w:val="24"/>
          <w:szCs w:val="24"/>
        </w:rPr>
        <w:t>Capacitación de primeros auxilios</w:t>
      </w:r>
    </w:p>
    <w:p w14:paraId="4A8F89FB">
      <w:pPr>
        <w:spacing w:line="276" w:lineRule="auto"/>
        <w:ind w:left="540"/>
        <w:rPr>
          <w:rFonts w:asciiTheme="minorHAnsi" w:hAnsiTheme="minorHAnsi" w:cstheme="minorHAnsi"/>
          <w:sz w:val="24"/>
          <w:szCs w:val="24"/>
        </w:rPr>
      </w:pPr>
    </w:p>
    <w:p w14:paraId="7FAD4071">
      <w:pPr>
        <w:spacing w:line="276" w:lineRule="auto"/>
        <w:rPr>
          <w:rFonts w:asciiTheme="minorHAnsi" w:hAnsiTheme="minorHAnsi" w:cstheme="minorHAnsi"/>
          <w:sz w:val="24"/>
          <w:szCs w:val="24"/>
        </w:rPr>
      </w:pPr>
      <w:r>
        <w:rPr>
          <w:rFonts w:asciiTheme="minorHAnsi" w:hAnsiTheme="minorHAnsi" w:cstheme="minorHAnsi"/>
          <w:sz w:val="24"/>
          <w:szCs w:val="24"/>
        </w:rPr>
        <w:t>Este plan de inducción será aplicable según rol de actor vial, las capacitaciones se establecerán en la matriz de capacitaciones.</w:t>
      </w:r>
    </w:p>
    <w:p w14:paraId="348E1C39">
      <w:pPr>
        <w:spacing w:line="276" w:lineRule="auto"/>
        <w:rPr>
          <w:rFonts w:asciiTheme="minorHAnsi" w:hAnsiTheme="minorHAnsi" w:cstheme="minorHAnsi"/>
          <w:sz w:val="24"/>
          <w:szCs w:val="24"/>
        </w:rPr>
      </w:pPr>
    </w:p>
    <w:p w14:paraId="4ADD8335">
      <w:pPr>
        <w:pStyle w:val="5"/>
        <w:numPr>
          <w:ilvl w:val="3"/>
          <w:numId w:val="31"/>
        </w:numPr>
        <w:spacing w:before="0"/>
        <w:ind w:left="900" w:hanging="900"/>
        <w:rPr>
          <w:rFonts w:asciiTheme="minorHAnsi" w:hAnsiTheme="minorHAnsi" w:cstheme="minorHAnsi"/>
          <w:sz w:val="24"/>
          <w:szCs w:val="24"/>
        </w:rPr>
      </w:pPr>
      <w:r>
        <w:rPr>
          <w:rFonts w:asciiTheme="minorHAnsi" w:hAnsiTheme="minorHAnsi" w:cstheme="minorHAnsi"/>
          <w:sz w:val="24"/>
          <w:szCs w:val="24"/>
        </w:rPr>
        <w:t>Capacitación</w:t>
      </w:r>
    </w:p>
    <w:p w14:paraId="2EFF738D">
      <w:pPr>
        <w:spacing w:line="276" w:lineRule="auto"/>
        <w:rPr>
          <w:rFonts w:asciiTheme="minorHAnsi" w:hAnsiTheme="minorHAnsi" w:cstheme="minorHAnsi"/>
          <w:sz w:val="24"/>
          <w:szCs w:val="24"/>
          <w:lang w:eastAsia="es-CO"/>
        </w:rPr>
      </w:pPr>
    </w:p>
    <w:p w14:paraId="1900C643">
      <w:pPr>
        <w:spacing w:line="276" w:lineRule="auto"/>
        <w:rPr>
          <w:rFonts w:asciiTheme="minorHAnsi" w:hAnsiTheme="minorHAnsi" w:cstheme="minorHAnsi"/>
          <w:sz w:val="24"/>
          <w:szCs w:val="24"/>
        </w:rPr>
      </w:pPr>
      <w:r>
        <w:rPr>
          <w:rFonts w:asciiTheme="minorHAnsi" w:hAnsiTheme="minorHAnsi" w:cstheme="minorHAnsi"/>
          <w:sz w:val="24"/>
          <w:szCs w:val="24"/>
        </w:rPr>
        <w:t>El Grupo de Seguridad y Salud en el Trabajo cuenta con un plan de trabajo para cada una de las vigencias, dentro del cual está contemplado el plan de inducción y capacitación de seguridad y salud en el trabajo, dicho plan contiene a todos los programas que hacen parte del sub sistema, incluido el Plan Estratégico de Seguridad Vial, adicionalmente el Grupo de SST, lidera la planeación, ejecución y monitoreo de capacitaciones especificas en seguridad vial emitidas desde el comité nacional y que están a cargo del delegado del Grupo SST, por otra parte los comités regionales realizan actividades adicionales que son reportadas y que están alineadas al plan de capacitaciones.</w:t>
      </w:r>
    </w:p>
    <w:p w14:paraId="4DC2AA3E">
      <w:pPr>
        <w:spacing w:line="276" w:lineRule="auto"/>
        <w:rPr>
          <w:rFonts w:asciiTheme="minorHAnsi" w:hAnsiTheme="minorHAnsi" w:cstheme="minorHAnsi"/>
          <w:sz w:val="24"/>
          <w:szCs w:val="24"/>
        </w:rPr>
      </w:pPr>
    </w:p>
    <w:p w14:paraId="4009E550">
      <w:pPr>
        <w:spacing w:line="276" w:lineRule="auto"/>
        <w:rPr>
          <w:rFonts w:asciiTheme="minorHAnsi" w:hAnsiTheme="minorHAnsi" w:cstheme="minorHAnsi"/>
          <w:sz w:val="24"/>
          <w:szCs w:val="24"/>
        </w:rPr>
      </w:pPr>
      <w:r>
        <w:rPr>
          <w:rFonts w:asciiTheme="minorHAnsi" w:hAnsiTheme="minorHAnsi" w:cstheme="minorHAnsi"/>
          <w:sz w:val="24"/>
          <w:szCs w:val="24"/>
        </w:rPr>
        <w:t>La institución garantiza que los mecanismos de capacitación en seguridad vial, sean idóneos a través de personas naturales o jurídicas idóneas, con conocimiento y experiencia en seguridad vial, transito, transporte o movilidad,</w:t>
      </w:r>
      <w:r>
        <w:rPr>
          <w:rFonts w:asciiTheme="minorHAnsi" w:hAnsiTheme="minorHAnsi" w:cstheme="minorHAnsi"/>
          <w:color w:val="00B050"/>
          <w:sz w:val="24"/>
          <w:szCs w:val="24"/>
        </w:rPr>
        <w:t xml:space="preserve"> acorde con la competencia establecida en el numeral 3.2.2.1 de este documento y aplicable </w:t>
      </w:r>
      <w:r>
        <w:rPr>
          <w:rFonts w:asciiTheme="minorHAnsi" w:hAnsiTheme="minorHAnsi" w:cstheme="minorHAnsi"/>
          <w:sz w:val="24"/>
          <w:szCs w:val="24"/>
        </w:rPr>
        <w:t xml:space="preserve">a este rol. </w:t>
      </w:r>
    </w:p>
    <w:p w14:paraId="56AF1144">
      <w:pPr>
        <w:spacing w:line="276" w:lineRule="auto"/>
        <w:rPr>
          <w:rFonts w:asciiTheme="minorHAnsi" w:hAnsiTheme="minorHAnsi" w:cstheme="minorHAnsi"/>
          <w:sz w:val="24"/>
          <w:szCs w:val="24"/>
        </w:rPr>
      </w:pPr>
    </w:p>
    <w:p w14:paraId="15364A6D">
      <w:pPr>
        <w:pStyle w:val="5"/>
        <w:numPr>
          <w:ilvl w:val="3"/>
          <w:numId w:val="31"/>
        </w:numPr>
        <w:spacing w:before="0"/>
        <w:ind w:left="900" w:hanging="900"/>
        <w:rPr>
          <w:rFonts w:asciiTheme="minorHAnsi" w:hAnsiTheme="minorHAnsi" w:cstheme="minorHAnsi"/>
          <w:sz w:val="24"/>
          <w:szCs w:val="24"/>
        </w:rPr>
      </w:pPr>
      <w:r>
        <w:rPr>
          <w:rFonts w:asciiTheme="minorHAnsi" w:hAnsiTheme="minorHAnsi" w:cstheme="minorHAnsi"/>
          <w:sz w:val="24"/>
          <w:szCs w:val="24"/>
        </w:rPr>
        <w:t>Responsable del</w:t>
      </w:r>
      <w:r>
        <w:rPr>
          <w:rFonts w:asciiTheme="minorHAnsi" w:hAnsiTheme="minorHAnsi" w:cstheme="minorHAnsi"/>
          <w:color w:val="00B050"/>
          <w:sz w:val="24"/>
          <w:szCs w:val="24"/>
        </w:rPr>
        <w:t xml:space="preserve"> plan anual de formación</w:t>
      </w:r>
    </w:p>
    <w:p w14:paraId="5ED20094">
      <w:pPr>
        <w:spacing w:line="276" w:lineRule="auto"/>
        <w:rPr>
          <w:rFonts w:asciiTheme="minorHAnsi" w:hAnsiTheme="minorHAnsi" w:cstheme="minorHAnsi"/>
          <w:sz w:val="24"/>
          <w:szCs w:val="24"/>
          <w:lang w:eastAsia="es-CO"/>
        </w:rPr>
      </w:pPr>
    </w:p>
    <w:p w14:paraId="396D0475">
      <w:pPr>
        <w:spacing w:line="276" w:lineRule="auto"/>
        <w:rPr>
          <w:rFonts w:asciiTheme="minorHAnsi" w:hAnsiTheme="minorHAnsi" w:cstheme="minorHAnsi"/>
          <w:sz w:val="24"/>
          <w:szCs w:val="24"/>
        </w:rPr>
      </w:pPr>
      <w:r>
        <w:rPr>
          <w:rFonts w:asciiTheme="minorHAnsi" w:hAnsiTheme="minorHAnsi" w:cstheme="minorHAnsi"/>
          <w:sz w:val="24"/>
          <w:szCs w:val="24"/>
        </w:rPr>
        <w:t xml:space="preserve">El responsable de la planeación de las capacitaciones que estarán establecidas en el plan de inducción y capacitaciones a nivel nacional será el </w:t>
      </w:r>
      <w:r>
        <w:rPr>
          <w:rFonts w:asciiTheme="minorHAnsi" w:hAnsiTheme="minorHAnsi" w:cstheme="minorHAnsi"/>
          <w:color w:val="00B050"/>
          <w:sz w:val="24"/>
          <w:szCs w:val="24"/>
        </w:rPr>
        <w:t>Líder del PESV</w:t>
      </w:r>
      <w:r>
        <w:rPr>
          <w:rFonts w:asciiTheme="minorHAnsi" w:hAnsiTheme="minorHAnsi" w:cstheme="minorHAnsi"/>
          <w:sz w:val="24"/>
          <w:szCs w:val="24"/>
        </w:rPr>
        <w:t>, mientras que cada Comité Regional será responsable de gestionar recursos adicionales y garantizar la asistencia de los actores viales de acuerdo al tipo de capacitación, además de monitorear y reportar cada una al delegado nacional, para garantizar su cumplimiento y dejar evidencias de su desarrollo.</w:t>
      </w:r>
    </w:p>
    <w:p w14:paraId="2650DC6A">
      <w:pPr>
        <w:spacing w:line="276" w:lineRule="auto"/>
        <w:rPr>
          <w:rFonts w:asciiTheme="minorHAnsi" w:hAnsiTheme="minorHAnsi" w:cstheme="minorHAnsi"/>
          <w:sz w:val="24"/>
          <w:szCs w:val="24"/>
        </w:rPr>
      </w:pPr>
    </w:p>
    <w:p w14:paraId="0724952B">
      <w:pPr>
        <w:spacing w:line="276" w:lineRule="auto"/>
        <w:rPr>
          <w:rFonts w:asciiTheme="minorHAnsi" w:hAnsiTheme="minorHAnsi" w:cstheme="minorHAnsi"/>
          <w:sz w:val="24"/>
          <w:szCs w:val="24"/>
        </w:rPr>
      </w:pPr>
      <w:r>
        <w:rPr>
          <w:rFonts w:asciiTheme="minorHAnsi" w:hAnsiTheme="minorHAnsi" w:cstheme="minorHAnsi"/>
          <w:sz w:val="24"/>
          <w:szCs w:val="24"/>
        </w:rPr>
        <w:t>Dentro de la caracterización inicial que debe ser realizada por cada uno de los comités regionales, se reportará al delegado nacional las necesidades específicas de capacitación para la vigencia.</w:t>
      </w:r>
    </w:p>
    <w:p w14:paraId="217B511D">
      <w:pPr>
        <w:spacing w:line="276" w:lineRule="auto"/>
        <w:rPr>
          <w:rFonts w:asciiTheme="minorHAnsi" w:hAnsiTheme="minorHAnsi" w:cstheme="minorHAnsi"/>
          <w:sz w:val="24"/>
          <w:szCs w:val="24"/>
        </w:rPr>
      </w:pPr>
    </w:p>
    <w:p w14:paraId="12E38BBF">
      <w:pPr>
        <w:pStyle w:val="5"/>
        <w:numPr>
          <w:ilvl w:val="3"/>
          <w:numId w:val="31"/>
        </w:numPr>
        <w:spacing w:before="0"/>
        <w:ind w:left="993" w:hanging="993"/>
        <w:rPr>
          <w:rFonts w:asciiTheme="minorHAnsi" w:hAnsiTheme="minorHAnsi" w:cstheme="minorHAnsi"/>
          <w:sz w:val="24"/>
          <w:szCs w:val="24"/>
        </w:rPr>
      </w:pPr>
      <w:r>
        <w:rPr>
          <w:rFonts w:asciiTheme="minorHAnsi" w:hAnsiTheme="minorHAnsi" w:cstheme="minorHAnsi"/>
          <w:sz w:val="24"/>
          <w:szCs w:val="24"/>
        </w:rPr>
        <w:t>Temas del plan de formación</w:t>
      </w:r>
    </w:p>
    <w:p w14:paraId="3E74D96E">
      <w:pPr>
        <w:spacing w:line="276" w:lineRule="auto"/>
        <w:rPr>
          <w:rFonts w:asciiTheme="minorHAnsi" w:hAnsiTheme="minorHAnsi" w:cstheme="minorHAnsi"/>
          <w:sz w:val="24"/>
          <w:szCs w:val="24"/>
          <w:lang w:eastAsia="es-CO"/>
        </w:rPr>
      </w:pPr>
    </w:p>
    <w:p w14:paraId="23C62FE6">
      <w:pPr>
        <w:rPr>
          <w:rFonts w:asciiTheme="minorHAnsi" w:hAnsiTheme="minorHAnsi" w:cstheme="minorHAnsi"/>
          <w:sz w:val="24"/>
          <w:szCs w:val="24"/>
        </w:rPr>
      </w:pPr>
      <w:r>
        <w:rPr>
          <w:rFonts w:asciiTheme="minorHAnsi" w:hAnsiTheme="minorHAnsi" w:cstheme="minorHAnsi"/>
          <w:sz w:val="24"/>
          <w:szCs w:val="24"/>
        </w:rPr>
        <w:t>Para definir el plan anual de formación, la organización tuvo en cuenta la caracterización, evaluación y control de riesgos, plan anual de trabajo, programas de gestión del riesgo vial y estadísticas de siniestralidad de la compañía. Los temas del programa de capacitación estarán documentados y consolidados en el plan de inducción y capacitaciones de Seguridad y Salud en el Trabajo, El cual será actualizado anualmente en función a cambios organizacionales, cambios en requisitos de ley o por mejora continua, los temas serán establecidos al inicio de cada vigencia de acuerdo a las solicitudes expresadas por parte de los Comités Regionales, previo análisis por parte del comité nacional y del delegado para el PESV.</w:t>
      </w:r>
    </w:p>
    <w:p w14:paraId="47A92238">
      <w:pPr>
        <w:spacing w:line="276" w:lineRule="auto"/>
        <w:rPr>
          <w:rFonts w:asciiTheme="minorHAnsi" w:hAnsiTheme="minorHAnsi" w:cstheme="minorHAnsi"/>
          <w:sz w:val="24"/>
          <w:szCs w:val="24"/>
        </w:rPr>
      </w:pPr>
    </w:p>
    <w:p w14:paraId="74ACA165">
      <w:pPr>
        <w:pStyle w:val="5"/>
        <w:numPr>
          <w:ilvl w:val="3"/>
          <w:numId w:val="31"/>
        </w:numPr>
        <w:spacing w:before="0"/>
        <w:rPr>
          <w:rFonts w:asciiTheme="minorHAnsi" w:hAnsiTheme="minorHAnsi" w:cstheme="minorHAnsi"/>
          <w:sz w:val="24"/>
          <w:szCs w:val="24"/>
        </w:rPr>
      </w:pPr>
      <w:r>
        <w:rPr>
          <w:rFonts w:asciiTheme="minorHAnsi" w:hAnsiTheme="minorHAnsi" w:cstheme="minorHAnsi"/>
          <w:sz w:val="24"/>
          <w:szCs w:val="24"/>
        </w:rPr>
        <w:t>Intensidad horaria</w:t>
      </w:r>
    </w:p>
    <w:p w14:paraId="1DB88765">
      <w:pPr>
        <w:spacing w:line="276" w:lineRule="auto"/>
        <w:rPr>
          <w:rFonts w:asciiTheme="minorHAnsi" w:hAnsiTheme="minorHAnsi" w:cstheme="minorHAnsi"/>
          <w:sz w:val="24"/>
          <w:szCs w:val="24"/>
          <w:lang w:eastAsia="es-CO"/>
        </w:rPr>
      </w:pPr>
    </w:p>
    <w:p w14:paraId="4B2EF027">
      <w:pPr>
        <w:spacing w:line="276" w:lineRule="auto"/>
        <w:rPr>
          <w:rFonts w:asciiTheme="minorHAnsi" w:hAnsiTheme="minorHAnsi" w:cstheme="minorHAnsi"/>
          <w:sz w:val="24"/>
          <w:szCs w:val="24"/>
        </w:rPr>
      </w:pPr>
      <w:r>
        <w:rPr>
          <w:rFonts w:asciiTheme="minorHAnsi" w:hAnsiTheme="minorHAnsi" w:cstheme="minorHAnsi"/>
          <w:sz w:val="24"/>
          <w:szCs w:val="24"/>
        </w:rPr>
        <w:t>La intensidad horaria variara de acuerdo a cada capacitación planificada y se establece que una sensibilización tardara de 15 a 30 minutos y una capacitación como mínimo un bloque de dos (2) horas.</w:t>
      </w:r>
    </w:p>
    <w:p w14:paraId="62BFE66D">
      <w:pPr>
        <w:spacing w:line="276" w:lineRule="auto"/>
        <w:rPr>
          <w:rFonts w:asciiTheme="minorHAnsi" w:hAnsiTheme="minorHAnsi" w:cstheme="minorHAnsi"/>
          <w:sz w:val="24"/>
          <w:szCs w:val="24"/>
        </w:rPr>
      </w:pPr>
    </w:p>
    <w:p w14:paraId="76F7D0C4">
      <w:pPr>
        <w:pStyle w:val="5"/>
        <w:numPr>
          <w:ilvl w:val="3"/>
          <w:numId w:val="31"/>
        </w:numPr>
        <w:spacing w:before="0"/>
        <w:rPr>
          <w:rFonts w:asciiTheme="minorHAnsi" w:hAnsiTheme="minorHAnsi" w:cstheme="minorHAnsi"/>
          <w:sz w:val="24"/>
          <w:szCs w:val="24"/>
        </w:rPr>
      </w:pPr>
      <w:r>
        <w:rPr>
          <w:rFonts w:asciiTheme="minorHAnsi" w:hAnsiTheme="minorHAnsi" w:cstheme="minorHAnsi"/>
          <w:sz w:val="24"/>
          <w:szCs w:val="24"/>
        </w:rPr>
        <w:t>Exigencia a conductores propios como terceros</w:t>
      </w:r>
    </w:p>
    <w:p w14:paraId="1C10E1FF">
      <w:pPr>
        <w:spacing w:line="276" w:lineRule="auto"/>
        <w:rPr>
          <w:rFonts w:asciiTheme="minorHAnsi" w:hAnsiTheme="minorHAnsi" w:cstheme="minorHAnsi"/>
          <w:sz w:val="24"/>
          <w:szCs w:val="24"/>
          <w:lang w:eastAsia="es-CO"/>
        </w:rPr>
      </w:pPr>
    </w:p>
    <w:p w14:paraId="4EBAB19A">
      <w:pPr>
        <w:spacing w:line="276" w:lineRule="auto"/>
        <w:rPr>
          <w:rFonts w:asciiTheme="minorHAnsi" w:hAnsiTheme="minorHAnsi" w:cstheme="minorHAnsi"/>
          <w:sz w:val="24"/>
          <w:szCs w:val="24"/>
        </w:rPr>
      </w:pPr>
      <w:r>
        <w:rPr>
          <w:rFonts w:asciiTheme="minorHAnsi" w:hAnsiTheme="minorHAnsi" w:cstheme="minorHAnsi"/>
          <w:sz w:val="24"/>
          <w:szCs w:val="24"/>
        </w:rPr>
        <w:t xml:space="preserve">Todo proceso de selección que se adelante en la entidad y que tenga como finalidad la contratación de cualquier tipo de transporte (materiales peligrosos, traslado de combustibles, traslado de aprendices y/o funcionarios, etc.) que sea desarrollado por parte de la Dirección Regional, Centro, Sede o Subsede, debe exigir dentro de los requisitos para la presentación de la oferta, de la propuesta o de la selección directa los requisitos mínimos aplicables para el tipo de transporte a contratar, así mismo, deben contar con un Plan Estratégico de Seguridad Vial </w:t>
      </w:r>
      <w:r>
        <w:rPr>
          <w:rFonts w:asciiTheme="minorHAnsi" w:hAnsiTheme="minorHAnsi" w:cstheme="minorHAnsi"/>
          <w:color w:val="00B050"/>
          <w:sz w:val="24"/>
          <w:szCs w:val="24"/>
        </w:rPr>
        <w:t xml:space="preserve">y deben ser exigidas las certificaciones en capacitación definidas en el PESV de SENA y que incluyen curso </w:t>
      </w:r>
      <w:r>
        <w:rPr>
          <w:rFonts w:asciiTheme="minorHAnsi" w:hAnsiTheme="minorHAnsi" w:cstheme="minorHAnsi"/>
          <w:sz w:val="24"/>
          <w:szCs w:val="24"/>
        </w:rPr>
        <w:t>de manejo defensivo para cualquier tipo de transporte a contratar, requisitos que pueden ser verificados en cualquier parte del proceso contractual.</w:t>
      </w:r>
    </w:p>
    <w:p w14:paraId="6B3C4319">
      <w:pPr>
        <w:spacing w:line="276" w:lineRule="auto"/>
        <w:rPr>
          <w:rFonts w:asciiTheme="minorHAnsi" w:hAnsiTheme="minorHAnsi" w:cstheme="minorHAnsi"/>
          <w:sz w:val="24"/>
          <w:szCs w:val="24"/>
        </w:rPr>
      </w:pPr>
    </w:p>
    <w:p w14:paraId="01E71457">
      <w:pPr>
        <w:spacing w:line="276" w:lineRule="auto"/>
        <w:rPr>
          <w:rFonts w:asciiTheme="minorHAnsi" w:hAnsiTheme="minorHAnsi" w:cstheme="minorHAnsi"/>
          <w:bCs/>
          <w:sz w:val="24"/>
          <w:szCs w:val="24"/>
        </w:rPr>
      </w:pPr>
      <w:r>
        <w:rPr>
          <w:rFonts w:asciiTheme="minorHAnsi" w:hAnsiTheme="minorHAnsi" w:cstheme="minorHAnsi"/>
          <w:sz w:val="24"/>
          <w:szCs w:val="24"/>
        </w:rPr>
        <w:t xml:space="preserve">Los requisitos de contratación para proveedores y contratistas SENA, están establecidos en el documento de </w:t>
      </w:r>
      <w:r>
        <w:rPr>
          <w:rFonts w:asciiTheme="minorHAnsi" w:hAnsiTheme="minorHAnsi" w:cstheme="minorHAnsi"/>
          <w:bCs/>
          <w:sz w:val="24"/>
          <w:szCs w:val="24"/>
        </w:rPr>
        <w:t>Requisitos ambientales y de seguridad y salud en el trabajo para la compra de productos y servicios.</w:t>
      </w:r>
    </w:p>
    <w:p w14:paraId="6B9BBDE8">
      <w:pPr>
        <w:spacing w:line="276" w:lineRule="auto"/>
        <w:rPr>
          <w:rFonts w:asciiTheme="minorHAnsi" w:hAnsiTheme="minorHAnsi" w:cstheme="minorHAnsi"/>
          <w:bCs/>
          <w:sz w:val="24"/>
          <w:szCs w:val="24"/>
        </w:rPr>
      </w:pPr>
    </w:p>
    <w:p w14:paraId="0D95BD78">
      <w:pPr>
        <w:pStyle w:val="3"/>
        <w:numPr>
          <w:ilvl w:val="1"/>
          <w:numId w:val="4"/>
        </w:numPr>
        <w:spacing w:after="0" w:line="276" w:lineRule="auto"/>
        <w:ind w:left="540" w:hanging="540"/>
        <w:rPr>
          <w:rFonts w:asciiTheme="minorHAnsi" w:hAnsiTheme="minorHAnsi" w:cstheme="minorHAnsi"/>
          <w:color w:val="auto"/>
          <w:sz w:val="24"/>
        </w:rPr>
      </w:pPr>
      <w:bookmarkStart w:id="89" w:name="_Toc188966795"/>
      <w:r>
        <w:rPr>
          <w:rFonts w:asciiTheme="minorHAnsi" w:hAnsiTheme="minorHAnsi" w:cstheme="minorHAnsi"/>
          <w:color w:val="auto"/>
          <w:sz w:val="24"/>
        </w:rPr>
        <w:t>RESPONSABILIDAD Y COMPORTAMIENTO SEGURO</w:t>
      </w:r>
      <w:bookmarkEnd w:id="89"/>
    </w:p>
    <w:p w14:paraId="65C05D20">
      <w:pPr>
        <w:pStyle w:val="4"/>
        <w:numPr>
          <w:ilvl w:val="2"/>
          <w:numId w:val="33"/>
        </w:numPr>
        <w:spacing w:before="0"/>
        <w:rPr>
          <w:rFonts w:asciiTheme="minorHAnsi" w:hAnsiTheme="minorHAnsi" w:cstheme="minorHAnsi"/>
          <w:sz w:val="24"/>
          <w:szCs w:val="24"/>
        </w:rPr>
      </w:pPr>
      <w:bookmarkStart w:id="90" w:name="_Toc188966796"/>
      <w:r>
        <w:rPr>
          <w:rFonts w:asciiTheme="minorHAnsi" w:hAnsiTheme="minorHAnsi" w:cstheme="minorHAnsi"/>
          <w:sz w:val="24"/>
          <w:szCs w:val="24"/>
        </w:rPr>
        <w:t>PROCEDIMIENTOS DE CONTRATACIÓN</w:t>
      </w:r>
      <w:bookmarkEnd w:id="90"/>
    </w:p>
    <w:p w14:paraId="0044FF3C">
      <w:pPr>
        <w:spacing w:line="276" w:lineRule="auto"/>
        <w:rPr>
          <w:rFonts w:asciiTheme="minorHAnsi" w:hAnsiTheme="minorHAnsi" w:cstheme="minorHAnsi"/>
          <w:bCs/>
          <w:sz w:val="24"/>
          <w:szCs w:val="24"/>
        </w:rPr>
      </w:pPr>
    </w:p>
    <w:p w14:paraId="19C7FBA3">
      <w:pPr>
        <w:autoSpaceDE w:val="0"/>
        <w:autoSpaceDN w:val="0"/>
        <w:adjustRightInd w:val="0"/>
        <w:spacing w:line="276" w:lineRule="auto"/>
        <w:rPr>
          <w:rFonts w:eastAsia="font285" w:asciiTheme="minorHAnsi" w:hAnsiTheme="minorHAnsi" w:cstheme="minorHAnsi"/>
          <w:sz w:val="24"/>
          <w:szCs w:val="24"/>
        </w:rPr>
      </w:pPr>
      <w:r>
        <w:rPr>
          <w:rFonts w:eastAsia="font285" w:asciiTheme="minorHAnsi" w:hAnsiTheme="minorHAnsi" w:cstheme="minorHAnsi"/>
          <w:sz w:val="24"/>
          <w:szCs w:val="24"/>
        </w:rPr>
        <w:t xml:space="preserve">Los conductores SENA, son contratados bajo dos modalidades: </w:t>
      </w:r>
    </w:p>
    <w:p w14:paraId="280D4F78">
      <w:pPr>
        <w:autoSpaceDE w:val="0"/>
        <w:autoSpaceDN w:val="0"/>
        <w:adjustRightInd w:val="0"/>
        <w:spacing w:line="276" w:lineRule="auto"/>
        <w:rPr>
          <w:rFonts w:eastAsia="font285" w:asciiTheme="minorHAnsi" w:hAnsiTheme="minorHAnsi" w:cstheme="minorHAnsi"/>
          <w:sz w:val="24"/>
          <w:szCs w:val="24"/>
        </w:rPr>
      </w:pPr>
    </w:p>
    <w:p w14:paraId="21AE6B5D">
      <w:pPr>
        <w:pStyle w:val="51"/>
        <w:numPr>
          <w:ilvl w:val="0"/>
          <w:numId w:val="18"/>
        </w:numPr>
        <w:autoSpaceDE w:val="0"/>
        <w:autoSpaceDN w:val="0"/>
        <w:adjustRightInd w:val="0"/>
        <w:spacing w:after="0" w:line="276" w:lineRule="auto"/>
        <w:ind w:left="540" w:hanging="540"/>
        <w:rPr>
          <w:rFonts w:eastAsia="font285" w:asciiTheme="minorHAnsi" w:hAnsiTheme="minorHAnsi" w:cstheme="minorHAnsi"/>
          <w:sz w:val="24"/>
          <w:szCs w:val="24"/>
        </w:rPr>
      </w:pPr>
      <w:r>
        <w:rPr>
          <w:rFonts w:eastAsia="font285" w:asciiTheme="minorHAnsi" w:hAnsiTheme="minorHAnsi" w:cstheme="minorHAnsi"/>
          <w:sz w:val="24"/>
          <w:szCs w:val="24"/>
        </w:rPr>
        <w:t>Contratación a término indefinido (conductores de planta)</w:t>
      </w:r>
    </w:p>
    <w:p w14:paraId="3B598E2D">
      <w:pPr>
        <w:pStyle w:val="51"/>
        <w:numPr>
          <w:ilvl w:val="0"/>
          <w:numId w:val="18"/>
        </w:numPr>
        <w:autoSpaceDE w:val="0"/>
        <w:autoSpaceDN w:val="0"/>
        <w:adjustRightInd w:val="0"/>
        <w:spacing w:after="0" w:line="276" w:lineRule="auto"/>
        <w:ind w:left="540" w:hanging="540"/>
        <w:rPr>
          <w:rFonts w:eastAsia="font285" w:asciiTheme="minorHAnsi" w:hAnsiTheme="minorHAnsi" w:cstheme="minorHAnsi"/>
          <w:sz w:val="24"/>
          <w:szCs w:val="24"/>
        </w:rPr>
      </w:pPr>
      <w:r>
        <w:rPr>
          <w:rFonts w:eastAsia="font285" w:asciiTheme="minorHAnsi" w:hAnsiTheme="minorHAnsi" w:cstheme="minorHAnsi"/>
          <w:sz w:val="24"/>
          <w:szCs w:val="24"/>
        </w:rPr>
        <w:t>Contratación a término definido (conductores por prestación de servicios)</w:t>
      </w:r>
    </w:p>
    <w:p w14:paraId="75B02172">
      <w:pPr>
        <w:pStyle w:val="51"/>
        <w:autoSpaceDE w:val="0"/>
        <w:autoSpaceDN w:val="0"/>
        <w:adjustRightInd w:val="0"/>
        <w:spacing w:after="0" w:line="276" w:lineRule="auto"/>
        <w:ind w:left="540" w:hanging="540"/>
        <w:rPr>
          <w:rFonts w:eastAsia="font285" w:asciiTheme="minorHAnsi" w:hAnsiTheme="minorHAnsi" w:cstheme="minorHAnsi"/>
          <w:sz w:val="24"/>
          <w:szCs w:val="24"/>
        </w:rPr>
      </w:pPr>
    </w:p>
    <w:p w14:paraId="01000F19">
      <w:pPr>
        <w:autoSpaceDE w:val="0"/>
        <w:autoSpaceDN w:val="0"/>
        <w:adjustRightInd w:val="0"/>
        <w:spacing w:line="276" w:lineRule="auto"/>
        <w:rPr>
          <w:rFonts w:asciiTheme="minorHAnsi" w:hAnsiTheme="minorHAnsi" w:cstheme="minorHAnsi"/>
          <w:b/>
          <w:sz w:val="24"/>
          <w:szCs w:val="24"/>
        </w:rPr>
      </w:pPr>
      <w:r>
        <w:rPr>
          <w:rFonts w:eastAsia="Calibri" w:asciiTheme="minorHAnsi" w:hAnsiTheme="minorHAnsi" w:cstheme="minorHAnsi"/>
          <w:sz w:val="24"/>
          <w:szCs w:val="24"/>
          <w:lang w:eastAsia="en-US"/>
        </w:rPr>
        <w:t xml:space="preserve">El SENA adoptó en </w:t>
      </w:r>
      <w:r>
        <w:rPr>
          <w:rFonts w:eastAsia="Calibri" w:asciiTheme="minorHAnsi" w:hAnsiTheme="minorHAnsi" w:cstheme="minorHAnsi"/>
          <w:sz w:val="24"/>
          <w:szCs w:val="24"/>
          <w:highlight w:val="magenta"/>
          <w:lang w:eastAsia="en-US"/>
        </w:rPr>
        <w:t xml:space="preserve">noviembre del año 2005 el Manual para la Contratación </w:t>
      </w:r>
      <w:commentRangeStart w:id="9"/>
      <w:r>
        <w:rPr>
          <w:rFonts w:eastAsia="Calibri" w:asciiTheme="minorHAnsi" w:hAnsiTheme="minorHAnsi" w:cstheme="minorHAnsi"/>
          <w:sz w:val="24"/>
          <w:szCs w:val="24"/>
          <w:highlight w:val="magenta"/>
          <w:lang w:eastAsia="en-US"/>
        </w:rPr>
        <w:t>Administrativa</w:t>
      </w:r>
      <w:commentRangeEnd w:id="9"/>
      <w:r>
        <w:rPr>
          <w:rStyle w:val="13"/>
          <w:rFonts w:eastAsia="Calibri" w:cs="Times New Roman"/>
          <w:lang w:eastAsia="en-US"/>
        </w:rPr>
        <w:commentReference w:id="9"/>
      </w:r>
      <w:r>
        <w:rPr>
          <w:rFonts w:eastAsia="Calibri" w:asciiTheme="minorHAnsi" w:hAnsiTheme="minorHAnsi" w:cstheme="minorHAnsi"/>
          <w:sz w:val="24"/>
          <w:szCs w:val="24"/>
          <w:highlight w:val="magenta"/>
          <w:lang w:eastAsia="en-US"/>
        </w:rPr>
        <w:t>,</w:t>
      </w:r>
      <w:r>
        <w:rPr>
          <w:rFonts w:eastAsia="Calibri" w:asciiTheme="minorHAnsi" w:hAnsiTheme="minorHAnsi" w:cstheme="minorHAnsi"/>
          <w:sz w:val="24"/>
          <w:szCs w:val="24"/>
          <w:lang w:eastAsia="en-US"/>
        </w:rPr>
        <w:t xml:space="preserve"> con el propósito de entregar a todos los servidores públicos de la entidad, una herramienta ilustrativa y de fácil consulta, para orientar y apoyar los procesos contractuales que realiza la institución, en este manual se encuentran los procesos de la contratación pública en el SENA y tiene por objeto precisar la normatividad contractual, señalar los parámetros mínimos y los procedimientos que rigen la materia, todo lo cual permitirá unificar criterios.</w:t>
      </w:r>
    </w:p>
    <w:p w14:paraId="4BFCABF8">
      <w:pPr>
        <w:spacing w:line="276" w:lineRule="auto"/>
        <w:rPr>
          <w:rFonts w:asciiTheme="minorHAnsi" w:hAnsiTheme="minorHAnsi" w:cstheme="minorHAnsi"/>
          <w:bCs/>
          <w:sz w:val="24"/>
          <w:szCs w:val="24"/>
        </w:rPr>
      </w:pPr>
    </w:p>
    <w:p w14:paraId="6057B4AB">
      <w:pPr>
        <w:spacing w:line="276" w:lineRule="auto"/>
        <w:rPr>
          <w:rFonts w:asciiTheme="minorHAnsi" w:hAnsiTheme="minorHAnsi" w:cstheme="minorHAnsi"/>
          <w:bCs/>
          <w:sz w:val="24"/>
          <w:szCs w:val="24"/>
        </w:rPr>
      </w:pPr>
      <w:r>
        <w:rPr>
          <w:rFonts w:asciiTheme="minorHAnsi" w:hAnsiTheme="minorHAnsi" w:cstheme="minorHAnsi"/>
          <w:bCs/>
          <w:sz w:val="24"/>
          <w:szCs w:val="24"/>
          <w:highlight w:val="yellow"/>
        </w:rPr>
        <w:t>Validar y definir mecanismos de contratación y/o pruebas a aplicar en caso de personas de otros cargos en rol de conductor.</w:t>
      </w:r>
    </w:p>
    <w:p w14:paraId="678616B3">
      <w:pPr>
        <w:spacing w:line="276" w:lineRule="auto"/>
        <w:rPr>
          <w:rFonts w:asciiTheme="minorHAnsi" w:hAnsiTheme="minorHAnsi" w:cstheme="minorHAnsi"/>
          <w:bCs/>
          <w:sz w:val="24"/>
          <w:szCs w:val="24"/>
        </w:rPr>
      </w:pPr>
    </w:p>
    <w:p w14:paraId="537F3C9A">
      <w:pPr>
        <w:pStyle w:val="4"/>
        <w:numPr>
          <w:ilvl w:val="3"/>
          <w:numId w:val="34"/>
        </w:numPr>
        <w:spacing w:before="0"/>
        <w:rPr>
          <w:rFonts w:asciiTheme="minorHAnsi" w:hAnsiTheme="minorHAnsi" w:cstheme="minorHAnsi"/>
          <w:iCs/>
          <w:sz w:val="24"/>
          <w:szCs w:val="24"/>
        </w:rPr>
      </w:pPr>
      <w:bookmarkStart w:id="91" w:name="_Toc497841887"/>
      <w:bookmarkStart w:id="92" w:name="_Toc485297480"/>
      <w:bookmarkStart w:id="93" w:name="_Toc188966797"/>
      <w:bookmarkStart w:id="94" w:name="_Toc519172529"/>
      <w:r>
        <w:rPr>
          <w:rFonts w:asciiTheme="minorHAnsi" w:hAnsiTheme="minorHAnsi" w:cstheme="minorHAnsi"/>
          <w:iCs/>
          <w:sz w:val="24"/>
          <w:szCs w:val="24"/>
        </w:rPr>
        <w:t>SELECCIÓN DE PERSONAL</w:t>
      </w:r>
      <w:bookmarkEnd w:id="91"/>
      <w:bookmarkEnd w:id="92"/>
      <w:bookmarkEnd w:id="93"/>
      <w:bookmarkEnd w:id="94"/>
    </w:p>
    <w:p w14:paraId="5344CF4A">
      <w:pPr>
        <w:spacing w:line="276" w:lineRule="auto"/>
        <w:rPr>
          <w:rFonts w:asciiTheme="minorHAnsi" w:hAnsiTheme="minorHAnsi" w:cstheme="minorHAnsi"/>
          <w:sz w:val="24"/>
          <w:szCs w:val="24"/>
        </w:rPr>
      </w:pPr>
    </w:p>
    <w:p w14:paraId="11D12094">
      <w:pPr>
        <w:autoSpaceDE w:val="0"/>
        <w:autoSpaceDN w:val="0"/>
        <w:adjustRightInd w:val="0"/>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El SENA tiene establecido tres procedimientos para la selección de conductores de acuerdo a la naturaleza de su vinculación así:</w:t>
      </w:r>
    </w:p>
    <w:p w14:paraId="1EDB8750">
      <w:pPr>
        <w:autoSpaceDE w:val="0"/>
        <w:autoSpaceDN w:val="0"/>
        <w:adjustRightInd w:val="0"/>
        <w:spacing w:line="276" w:lineRule="auto"/>
        <w:rPr>
          <w:rFonts w:eastAsia="Calibri" w:asciiTheme="minorHAnsi" w:hAnsiTheme="minorHAnsi" w:cstheme="minorHAnsi"/>
          <w:sz w:val="24"/>
          <w:szCs w:val="24"/>
          <w:lang w:eastAsia="en-US"/>
        </w:rPr>
      </w:pPr>
    </w:p>
    <w:p w14:paraId="66E2CEB8">
      <w:pPr>
        <w:numPr>
          <w:ilvl w:val="1"/>
          <w:numId w:val="35"/>
        </w:numPr>
        <w:autoSpaceDE w:val="0"/>
        <w:autoSpaceDN w:val="0"/>
        <w:adjustRightInd w:val="0"/>
        <w:spacing w:line="276" w:lineRule="auto"/>
        <w:ind w:left="540" w:hanging="540"/>
        <w:rPr>
          <w:rFonts w:eastAsia="Calibri" w:asciiTheme="minorHAnsi" w:hAnsiTheme="minorHAnsi" w:cstheme="minorHAnsi"/>
          <w:iCs/>
          <w:sz w:val="24"/>
          <w:szCs w:val="24"/>
          <w:lang w:eastAsia="en-US"/>
        </w:rPr>
      </w:pPr>
      <w:r>
        <w:rPr>
          <w:rFonts w:eastAsia="Calibri" w:asciiTheme="minorHAnsi" w:hAnsiTheme="minorHAnsi" w:cstheme="minorHAnsi"/>
          <w:b/>
          <w:sz w:val="24"/>
          <w:szCs w:val="24"/>
          <w:lang w:eastAsia="en-US"/>
        </w:rPr>
        <w:t>Trabajadores Oficiales.</w:t>
      </w:r>
      <w:r>
        <w:rPr>
          <w:rFonts w:eastAsia="Calibri" w:asciiTheme="minorHAnsi" w:hAnsiTheme="minorHAnsi" w:cstheme="minorHAnsi"/>
          <w:sz w:val="24"/>
          <w:szCs w:val="24"/>
          <w:lang w:eastAsia="en-US"/>
        </w:rPr>
        <w:t xml:space="preserve"> De conformidad con la Convención colectiva de Trabajadores Oficiales del SENA </w:t>
      </w:r>
      <w:commentRangeStart w:id="10"/>
      <w:r>
        <w:rPr>
          <w:rFonts w:eastAsia="Calibri" w:asciiTheme="minorHAnsi" w:hAnsiTheme="minorHAnsi" w:cstheme="minorHAnsi"/>
          <w:sz w:val="24"/>
          <w:szCs w:val="24"/>
          <w:highlight w:val="yellow"/>
          <w:lang w:eastAsia="en-US"/>
        </w:rPr>
        <w:t>2004,</w:t>
      </w:r>
      <w:commentRangeEnd w:id="10"/>
      <w:r>
        <w:rPr>
          <w:rStyle w:val="13"/>
          <w:rFonts w:eastAsia="Calibri" w:cs="Times New Roman"/>
          <w:lang w:eastAsia="en-US"/>
        </w:rPr>
        <w:commentReference w:id="10"/>
      </w:r>
      <w:r>
        <w:rPr>
          <w:rFonts w:eastAsia="Calibri" w:asciiTheme="minorHAnsi" w:hAnsiTheme="minorHAnsi" w:cstheme="minorHAnsi"/>
          <w:sz w:val="24"/>
          <w:szCs w:val="24"/>
          <w:lang w:eastAsia="en-US"/>
        </w:rPr>
        <w:t xml:space="preserve"> el procedimiento de selección de conductores está reglamentado en los artículos 49 a 67 y que establecen el procedimiento para la vinculación de trabajadores oficiales.</w:t>
      </w:r>
    </w:p>
    <w:p w14:paraId="26214DB3">
      <w:pPr>
        <w:numPr>
          <w:ilvl w:val="1"/>
          <w:numId w:val="35"/>
        </w:numPr>
        <w:autoSpaceDE w:val="0"/>
        <w:autoSpaceDN w:val="0"/>
        <w:adjustRightInd w:val="0"/>
        <w:spacing w:line="276" w:lineRule="auto"/>
        <w:ind w:left="540" w:hanging="540"/>
        <w:rPr>
          <w:rFonts w:eastAsia="Calibri" w:asciiTheme="minorHAnsi" w:hAnsiTheme="minorHAnsi" w:cstheme="minorHAnsi"/>
          <w:sz w:val="24"/>
          <w:szCs w:val="24"/>
          <w:lang w:eastAsia="en-US"/>
        </w:rPr>
      </w:pPr>
      <w:r>
        <w:rPr>
          <w:rFonts w:eastAsia="Calibri" w:asciiTheme="minorHAnsi" w:hAnsiTheme="minorHAnsi" w:cstheme="minorHAnsi"/>
          <w:b/>
          <w:bCs/>
          <w:sz w:val="24"/>
          <w:szCs w:val="24"/>
          <w:lang w:eastAsia="en-US"/>
        </w:rPr>
        <w:t xml:space="preserve">Empleados Públicos. </w:t>
      </w:r>
      <w:r>
        <w:rPr>
          <w:rFonts w:eastAsia="Calibri" w:asciiTheme="minorHAnsi" w:hAnsiTheme="minorHAnsi" w:cstheme="minorHAnsi"/>
          <w:sz w:val="24"/>
          <w:szCs w:val="24"/>
          <w:lang w:eastAsia="en-US"/>
        </w:rPr>
        <w:t>Los empleados públicos en los cargos asistencial o técnico se vinculan a través de concurso de méritos, el cual es administrado por la Comisión Nacional del Servicio Civil.</w:t>
      </w:r>
    </w:p>
    <w:p w14:paraId="66AE923C">
      <w:pPr>
        <w:numPr>
          <w:ilvl w:val="1"/>
          <w:numId w:val="35"/>
        </w:numPr>
        <w:autoSpaceDE w:val="0"/>
        <w:autoSpaceDN w:val="0"/>
        <w:adjustRightInd w:val="0"/>
        <w:spacing w:line="276" w:lineRule="auto"/>
        <w:ind w:left="540" w:hanging="540"/>
        <w:rPr>
          <w:rFonts w:eastAsia="Calibri" w:asciiTheme="minorHAnsi" w:hAnsiTheme="minorHAnsi" w:cstheme="minorHAnsi"/>
          <w:sz w:val="24"/>
          <w:szCs w:val="24"/>
          <w:lang w:eastAsia="en-US"/>
        </w:rPr>
      </w:pPr>
      <w:r>
        <w:rPr>
          <w:rFonts w:eastAsia="Calibri" w:asciiTheme="minorHAnsi" w:hAnsiTheme="minorHAnsi" w:cstheme="minorHAnsi"/>
          <w:b/>
          <w:bCs/>
          <w:sz w:val="24"/>
          <w:szCs w:val="24"/>
          <w:lang w:eastAsia="en-US"/>
        </w:rPr>
        <w:t xml:space="preserve">Contratistas de Prestación de Servicios. </w:t>
      </w:r>
      <w:r>
        <w:rPr>
          <w:rFonts w:eastAsia="Calibri" w:asciiTheme="minorHAnsi" w:hAnsiTheme="minorHAnsi" w:cstheme="minorHAnsi"/>
          <w:sz w:val="24"/>
          <w:szCs w:val="24"/>
          <w:lang w:eastAsia="en-US"/>
        </w:rPr>
        <w:t>Los contratistas de prestación de servicios se vinculan al SENA por intermedio del Servicio Público de Empleo del SENA donde se registran con hoja de vida y el SENA a través de la dependencia interesada realiza la convocatoria y estudio de los documentos y antecedentes del caso.</w:t>
      </w:r>
    </w:p>
    <w:p w14:paraId="522CE934">
      <w:pPr>
        <w:autoSpaceDE w:val="0"/>
        <w:autoSpaceDN w:val="0"/>
        <w:adjustRightInd w:val="0"/>
        <w:spacing w:line="276" w:lineRule="auto"/>
        <w:rPr>
          <w:rFonts w:eastAsia="Calibri" w:asciiTheme="minorHAnsi" w:hAnsiTheme="minorHAnsi" w:cstheme="minorHAnsi"/>
          <w:sz w:val="24"/>
          <w:szCs w:val="24"/>
          <w:lang w:eastAsia="en-US"/>
        </w:rPr>
      </w:pPr>
    </w:p>
    <w:p w14:paraId="1FFB4ED4">
      <w:pPr>
        <w:spacing w:line="276" w:lineRule="auto"/>
        <w:rPr>
          <w:rFonts w:asciiTheme="minorHAnsi" w:hAnsiTheme="minorHAnsi" w:cstheme="minorHAnsi"/>
          <w:sz w:val="24"/>
          <w:szCs w:val="24"/>
        </w:rPr>
      </w:pPr>
      <w:r>
        <w:rPr>
          <w:rFonts w:asciiTheme="minorHAnsi" w:hAnsiTheme="minorHAnsi" w:cstheme="minorHAnsi"/>
          <w:sz w:val="24"/>
          <w:szCs w:val="24"/>
        </w:rPr>
        <w:t xml:space="preserve">Todos estos lineamientos se encuentran en el documento </w:t>
      </w:r>
      <w:commentRangeStart w:id="11"/>
      <w:r>
        <w:rPr>
          <w:rFonts w:asciiTheme="minorHAnsi" w:hAnsiTheme="minorHAnsi" w:cstheme="minorHAnsi"/>
          <w:sz w:val="24"/>
          <w:szCs w:val="24"/>
        </w:rPr>
        <w:t>GCCON-M-001 Manual de contratación administrativa</w:t>
      </w:r>
      <w:commentRangeEnd w:id="11"/>
      <w:r>
        <w:rPr>
          <w:rStyle w:val="13"/>
          <w:rFonts w:eastAsia="Calibri" w:cs="Times New Roman"/>
          <w:lang w:eastAsia="en-US"/>
        </w:rPr>
        <w:commentReference w:id="11"/>
      </w:r>
      <w:r>
        <w:rPr>
          <w:rFonts w:asciiTheme="minorHAnsi" w:hAnsiTheme="minorHAnsi" w:cstheme="minorHAnsi"/>
          <w:sz w:val="24"/>
          <w:szCs w:val="24"/>
        </w:rPr>
        <w:t xml:space="preserve">, donde se establecen los criterios de selección, vinculación y desvinculación del personal, identificando la secuencia de actividades, requisitos y responsabilidades que intervienen en el proceso con el fin de lograr trazabilidad de la información recopilada. </w:t>
      </w:r>
    </w:p>
    <w:p w14:paraId="070BD3D1">
      <w:pPr>
        <w:spacing w:line="276" w:lineRule="auto"/>
        <w:rPr>
          <w:rFonts w:asciiTheme="minorHAnsi" w:hAnsiTheme="minorHAnsi" w:cstheme="minorHAnsi"/>
          <w:sz w:val="24"/>
          <w:szCs w:val="24"/>
        </w:rPr>
      </w:pPr>
    </w:p>
    <w:p w14:paraId="2043AD51">
      <w:pPr>
        <w:autoSpaceDE w:val="0"/>
        <w:autoSpaceDN w:val="0"/>
        <w:adjustRightInd w:val="0"/>
        <w:spacing w:line="276" w:lineRule="auto"/>
        <w:rPr>
          <w:rFonts w:asciiTheme="minorHAnsi" w:hAnsiTheme="minorHAnsi" w:cstheme="minorHAnsi"/>
          <w:sz w:val="24"/>
          <w:szCs w:val="24"/>
        </w:rPr>
      </w:pPr>
    </w:p>
    <w:p w14:paraId="5F5CADF4">
      <w:pPr>
        <w:pStyle w:val="4"/>
        <w:numPr>
          <w:ilvl w:val="3"/>
          <w:numId w:val="34"/>
        </w:numPr>
        <w:spacing w:before="0"/>
        <w:rPr>
          <w:rFonts w:asciiTheme="minorHAnsi" w:hAnsiTheme="minorHAnsi" w:cstheme="minorHAnsi"/>
          <w:iCs/>
          <w:sz w:val="24"/>
          <w:szCs w:val="24"/>
        </w:rPr>
      </w:pPr>
      <w:bookmarkStart w:id="95" w:name="_Toc497841888"/>
      <w:bookmarkStart w:id="96" w:name="_Toc485297481"/>
      <w:bookmarkStart w:id="97" w:name="_Toc188966798"/>
      <w:bookmarkStart w:id="98" w:name="_Toc519172531"/>
      <w:r>
        <w:rPr>
          <w:rFonts w:asciiTheme="minorHAnsi" w:hAnsiTheme="minorHAnsi" w:cstheme="minorHAnsi"/>
          <w:iCs/>
          <w:sz w:val="24"/>
          <w:szCs w:val="24"/>
        </w:rPr>
        <w:t>PRUEBAS DE INGRESO</w:t>
      </w:r>
      <w:bookmarkEnd w:id="95"/>
      <w:bookmarkEnd w:id="96"/>
      <w:bookmarkEnd w:id="97"/>
      <w:bookmarkEnd w:id="98"/>
      <w:bookmarkStart w:id="99" w:name="_Toc485297482"/>
    </w:p>
    <w:p w14:paraId="018A45F5">
      <w:pPr>
        <w:spacing w:line="276" w:lineRule="auto"/>
        <w:rPr>
          <w:rFonts w:asciiTheme="minorHAnsi" w:hAnsiTheme="minorHAnsi" w:cstheme="minorHAnsi"/>
          <w:sz w:val="24"/>
          <w:szCs w:val="24"/>
        </w:rPr>
      </w:pPr>
      <w:bookmarkStart w:id="100" w:name="_Toc497841889"/>
      <w:bookmarkStart w:id="101" w:name="_Toc498100909"/>
      <w:bookmarkStart w:id="102" w:name="_Toc503253312"/>
      <w:bookmarkStart w:id="103" w:name="_Toc503254123"/>
    </w:p>
    <w:p w14:paraId="30AA7317">
      <w:pPr>
        <w:spacing w:line="276" w:lineRule="auto"/>
        <w:rPr>
          <w:rFonts w:asciiTheme="minorHAnsi" w:hAnsiTheme="minorHAnsi" w:cstheme="minorHAnsi"/>
          <w:sz w:val="24"/>
          <w:szCs w:val="24"/>
        </w:rPr>
      </w:pPr>
      <w:r>
        <w:rPr>
          <w:rFonts w:asciiTheme="minorHAnsi" w:hAnsiTheme="minorHAnsi" w:cstheme="minorHAnsi"/>
          <w:sz w:val="24"/>
          <w:szCs w:val="24"/>
        </w:rPr>
        <w:t>L</w:t>
      </w:r>
      <w:bookmarkEnd w:id="99"/>
      <w:bookmarkEnd w:id="100"/>
      <w:bookmarkEnd w:id="101"/>
      <w:r>
        <w:rPr>
          <w:rFonts w:asciiTheme="minorHAnsi" w:hAnsiTheme="minorHAnsi" w:cstheme="minorHAnsi"/>
          <w:sz w:val="24"/>
          <w:szCs w:val="24"/>
        </w:rPr>
        <w:t>as pruebas de ingresos que forman parte del proceso de selección de conductores, están divididas en pruebas de ingresos de medicina laboral y pruebas de evaluación de conocimiento y habilidades de conducción.</w:t>
      </w:r>
      <w:bookmarkEnd w:id="102"/>
      <w:bookmarkEnd w:id="103"/>
    </w:p>
    <w:p w14:paraId="1EF3906B">
      <w:pPr>
        <w:spacing w:line="276" w:lineRule="auto"/>
        <w:rPr>
          <w:rFonts w:asciiTheme="minorHAnsi" w:hAnsiTheme="minorHAnsi" w:cstheme="minorHAnsi"/>
          <w:sz w:val="24"/>
          <w:szCs w:val="24"/>
        </w:rPr>
      </w:pPr>
    </w:p>
    <w:p w14:paraId="160DFDD8">
      <w:pPr>
        <w:spacing w:line="276" w:lineRule="auto"/>
        <w:rPr>
          <w:rFonts w:asciiTheme="minorHAnsi" w:hAnsiTheme="minorHAnsi" w:cstheme="minorHAnsi"/>
          <w:sz w:val="24"/>
          <w:szCs w:val="24"/>
        </w:rPr>
      </w:pPr>
    </w:p>
    <w:p w14:paraId="31D00732">
      <w:pPr>
        <w:pStyle w:val="51"/>
        <w:numPr>
          <w:ilvl w:val="4"/>
          <w:numId w:val="34"/>
        </w:numPr>
        <w:rPr>
          <w:b/>
          <w:bCs/>
        </w:rPr>
      </w:pPr>
      <w:bookmarkStart w:id="104" w:name="_Toc503254124"/>
      <w:bookmarkStart w:id="105" w:name="_Toc503253313"/>
      <w:r>
        <w:rPr>
          <w:b/>
          <w:bCs/>
        </w:rPr>
        <w:t>Pruebas de ingresos de medicina laboral</w:t>
      </w:r>
      <w:bookmarkEnd w:id="104"/>
      <w:bookmarkEnd w:id="105"/>
    </w:p>
    <w:p w14:paraId="14B0E272">
      <w:pPr>
        <w:spacing w:line="276" w:lineRule="auto"/>
        <w:rPr>
          <w:rFonts w:asciiTheme="minorHAnsi" w:hAnsiTheme="minorHAnsi" w:cstheme="minorHAnsi"/>
          <w:sz w:val="24"/>
          <w:szCs w:val="24"/>
          <w:lang w:eastAsia="es-CO"/>
        </w:rPr>
      </w:pPr>
    </w:p>
    <w:p w14:paraId="60EBE001">
      <w:pPr>
        <w:spacing w:line="276" w:lineRule="auto"/>
        <w:rPr>
          <w:rFonts w:asciiTheme="minorHAnsi" w:hAnsiTheme="minorHAnsi" w:cstheme="minorHAnsi"/>
          <w:sz w:val="24"/>
          <w:szCs w:val="24"/>
          <w:lang w:eastAsia="es-CO"/>
        </w:rPr>
      </w:pPr>
      <w:r>
        <w:rPr>
          <w:rFonts w:asciiTheme="minorHAnsi" w:hAnsiTheme="minorHAnsi" w:cstheme="minorHAnsi"/>
          <w:sz w:val="24"/>
          <w:szCs w:val="24"/>
          <w:lang w:eastAsia="es-CO"/>
        </w:rPr>
        <w:t xml:space="preserve">Como requisito para el desarrollo de la actividad específica de conducción u operación de los vehículos que son propiedad de la entidad, desde el Grupo de Seguridad y Salud en el Trabajo específicamente desde medicina laboral, se han establecido los </w:t>
      </w:r>
      <w:r>
        <w:rPr>
          <w:rFonts w:asciiTheme="minorHAnsi" w:hAnsiTheme="minorHAnsi" w:cstheme="minorHAnsi"/>
          <w:sz w:val="24"/>
          <w:szCs w:val="24"/>
        </w:rPr>
        <w:t>exámenes médicos aplicables según legislación y desarrollados con entes avalados para tal fin</w:t>
      </w:r>
      <w:r>
        <w:rPr>
          <w:rFonts w:asciiTheme="minorHAnsi" w:hAnsiTheme="minorHAnsi" w:cstheme="minorHAnsi"/>
          <w:sz w:val="24"/>
          <w:szCs w:val="24"/>
          <w:lang w:eastAsia="es-CO"/>
        </w:rPr>
        <w:t>, para lo cual se debe aplicar el profesiograma, el cual determina el tipo de exámenes médicos que debe realizarse de manera frecuente al personal de planta de la entidad, mientras que para los contratistas que desempeñen esta misma función, deberán presentarse de manera anual como pre requisito para la contratación.</w:t>
      </w:r>
    </w:p>
    <w:p w14:paraId="53FD6B7A">
      <w:pPr>
        <w:spacing w:line="276" w:lineRule="auto"/>
        <w:rPr>
          <w:rFonts w:asciiTheme="minorHAnsi" w:hAnsiTheme="minorHAnsi" w:cstheme="minorHAnsi"/>
          <w:sz w:val="24"/>
          <w:szCs w:val="24"/>
          <w:lang w:eastAsia="es-CO"/>
        </w:rPr>
      </w:pPr>
    </w:p>
    <w:p w14:paraId="3C111910">
      <w:pPr>
        <w:spacing w:line="276" w:lineRule="auto"/>
        <w:rPr>
          <w:rFonts w:asciiTheme="minorHAnsi" w:hAnsiTheme="minorHAnsi" w:cstheme="minorHAnsi"/>
          <w:sz w:val="24"/>
          <w:szCs w:val="24"/>
          <w:lang w:eastAsia="es-CO"/>
        </w:rPr>
      </w:pPr>
      <w:r>
        <w:rPr>
          <w:rFonts w:asciiTheme="minorHAnsi" w:hAnsiTheme="minorHAnsi" w:cstheme="minorHAnsi"/>
          <w:sz w:val="24"/>
          <w:szCs w:val="24"/>
          <w:lang w:eastAsia="es-CO"/>
        </w:rPr>
        <w:t xml:space="preserve">Cabe anotar que la vigencia de dichos exámenes para los contratistas será de un (1) año  </w:t>
      </w:r>
    </w:p>
    <w:p w14:paraId="76FB4A4F">
      <w:pPr>
        <w:pStyle w:val="51"/>
        <w:numPr>
          <w:ilvl w:val="4"/>
          <w:numId w:val="34"/>
        </w:numPr>
        <w:rPr>
          <w:b/>
          <w:bCs/>
        </w:rPr>
      </w:pPr>
      <w:r>
        <w:rPr>
          <w:b/>
          <w:bCs/>
        </w:rPr>
        <w:t xml:space="preserve">Exámenes psicosensometricos: </w:t>
      </w:r>
    </w:p>
    <w:p w14:paraId="292BD52E">
      <w:pPr>
        <w:rPr>
          <w:lang w:eastAsia="es-CO"/>
        </w:rPr>
      </w:pPr>
    </w:p>
    <w:p w14:paraId="215EAE30">
      <w:pPr>
        <w:spacing w:line="276" w:lineRule="auto"/>
        <w:rPr>
          <w:rFonts w:asciiTheme="minorHAnsi" w:hAnsiTheme="minorHAnsi" w:cstheme="minorHAnsi"/>
          <w:sz w:val="24"/>
          <w:szCs w:val="24"/>
        </w:rPr>
      </w:pPr>
      <w:r>
        <w:rPr>
          <w:rFonts w:asciiTheme="minorHAnsi" w:hAnsiTheme="minorHAnsi" w:cstheme="minorHAnsi"/>
          <w:sz w:val="24"/>
          <w:szCs w:val="24"/>
        </w:rPr>
        <w:t xml:space="preserve">El grupo SST ha definido los exámenes ocupacionales aplicables según cargos entre ellos los exámenes psicosensometricos, mediante la documentación del </w:t>
      </w:r>
      <w:commentRangeStart w:id="12"/>
      <w:r>
        <w:rPr>
          <w:rFonts w:asciiTheme="minorHAnsi" w:hAnsiTheme="minorHAnsi" w:cstheme="minorHAnsi"/>
          <w:sz w:val="24"/>
          <w:szCs w:val="24"/>
        </w:rPr>
        <w:t xml:space="preserve">profesiograma que se </w:t>
      </w:r>
      <w:commentRangeEnd w:id="12"/>
      <w:r>
        <w:rPr>
          <w:rStyle w:val="13"/>
          <w:rFonts w:eastAsia="Calibri" w:cs="Times New Roman"/>
          <w:lang w:eastAsia="en-US"/>
        </w:rPr>
        <w:commentReference w:id="12"/>
      </w:r>
      <w:r>
        <w:rPr>
          <w:rFonts w:asciiTheme="minorHAnsi" w:hAnsiTheme="minorHAnsi" w:cstheme="minorHAnsi"/>
          <w:sz w:val="24"/>
          <w:szCs w:val="24"/>
        </w:rPr>
        <w:t xml:space="preserve">presenta en la </w:t>
      </w:r>
      <w:r>
        <w:rPr>
          <w:rFonts w:asciiTheme="minorHAnsi" w:hAnsiTheme="minorHAnsi" w:cstheme="minorHAnsi"/>
          <w:i/>
          <w:sz w:val="24"/>
          <w:szCs w:val="24"/>
        </w:rPr>
        <w:t>tabla No. 28</w:t>
      </w:r>
      <w:r>
        <w:rPr>
          <w:rFonts w:asciiTheme="minorHAnsi" w:hAnsiTheme="minorHAnsi" w:cstheme="minorHAnsi"/>
          <w:sz w:val="24"/>
          <w:szCs w:val="24"/>
        </w:rPr>
        <w:t xml:space="preserve"> </w:t>
      </w:r>
      <w:r>
        <w:rPr>
          <w:rFonts w:asciiTheme="minorHAnsi" w:hAnsiTheme="minorHAnsi" w:cstheme="minorHAnsi"/>
          <w:i/>
          <w:sz w:val="24"/>
          <w:szCs w:val="24"/>
        </w:rPr>
        <w:t>profesiograma para conductores</w:t>
      </w:r>
      <w:r>
        <w:rPr>
          <w:rFonts w:asciiTheme="minorHAnsi" w:hAnsiTheme="minorHAnsi" w:cstheme="minorHAnsi"/>
          <w:sz w:val="24"/>
          <w:szCs w:val="24"/>
        </w:rPr>
        <w:t xml:space="preserve">. </w:t>
      </w:r>
    </w:p>
    <w:p w14:paraId="484D3A15">
      <w:pPr>
        <w:spacing w:line="276" w:lineRule="auto"/>
        <w:rPr>
          <w:rFonts w:asciiTheme="minorHAnsi" w:hAnsiTheme="minorHAnsi" w:cstheme="minorHAnsi"/>
          <w:sz w:val="24"/>
          <w:szCs w:val="24"/>
        </w:rPr>
      </w:pPr>
    </w:p>
    <w:p w14:paraId="55BA1EE1">
      <w:pPr>
        <w:spacing w:line="276" w:lineRule="auto"/>
        <w:rPr>
          <w:rFonts w:asciiTheme="minorHAnsi" w:hAnsiTheme="minorHAnsi" w:cstheme="minorHAnsi"/>
          <w:sz w:val="24"/>
          <w:szCs w:val="24"/>
        </w:rPr>
      </w:pPr>
      <w:r>
        <w:rPr>
          <w:rFonts w:asciiTheme="minorHAnsi" w:hAnsiTheme="minorHAnsi" w:cstheme="minorHAnsi"/>
          <w:sz w:val="24"/>
          <w:szCs w:val="24"/>
        </w:rPr>
        <w:t>Este profesiograma define claramente los tipos de exámenes a desarrollar para conductores durante los procesos de:</w:t>
      </w:r>
    </w:p>
    <w:p w14:paraId="603F831D">
      <w:pPr>
        <w:pStyle w:val="51"/>
        <w:numPr>
          <w:ilvl w:val="0"/>
          <w:numId w:val="36"/>
        </w:numPr>
        <w:spacing w:after="0" w:line="276" w:lineRule="auto"/>
        <w:ind w:left="540" w:hanging="540"/>
        <w:rPr>
          <w:rFonts w:asciiTheme="minorHAnsi" w:hAnsiTheme="minorHAnsi" w:cstheme="minorHAnsi"/>
          <w:sz w:val="24"/>
          <w:szCs w:val="24"/>
        </w:rPr>
      </w:pPr>
      <w:r>
        <w:rPr>
          <w:rFonts w:asciiTheme="minorHAnsi" w:hAnsiTheme="minorHAnsi" w:cstheme="minorHAnsi"/>
          <w:sz w:val="24"/>
          <w:szCs w:val="24"/>
        </w:rPr>
        <w:t>Pre empleo</w:t>
      </w:r>
    </w:p>
    <w:p w14:paraId="7F95E685">
      <w:pPr>
        <w:pStyle w:val="51"/>
        <w:numPr>
          <w:ilvl w:val="0"/>
          <w:numId w:val="36"/>
        </w:numPr>
        <w:spacing w:after="0" w:line="276" w:lineRule="auto"/>
        <w:ind w:left="540" w:hanging="540"/>
        <w:rPr>
          <w:rFonts w:asciiTheme="minorHAnsi" w:hAnsiTheme="minorHAnsi" w:cstheme="minorHAnsi"/>
          <w:sz w:val="24"/>
          <w:szCs w:val="24"/>
        </w:rPr>
      </w:pPr>
      <w:r>
        <w:rPr>
          <w:rFonts w:asciiTheme="minorHAnsi" w:hAnsiTheme="minorHAnsi" w:cstheme="minorHAnsi"/>
          <w:sz w:val="24"/>
          <w:szCs w:val="24"/>
        </w:rPr>
        <w:t>Periódico</w:t>
      </w:r>
    </w:p>
    <w:p w14:paraId="34B9673D">
      <w:pPr>
        <w:pStyle w:val="51"/>
        <w:numPr>
          <w:ilvl w:val="0"/>
          <w:numId w:val="36"/>
        </w:numPr>
        <w:spacing w:after="0" w:line="276" w:lineRule="auto"/>
        <w:ind w:left="540" w:hanging="540"/>
        <w:rPr>
          <w:rFonts w:asciiTheme="minorHAnsi" w:hAnsiTheme="minorHAnsi" w:cstheme="minorHAnsi"/>
          <w:sz w:val="24"/>
          <w:szCs w:val="24"/>
        </w:rPr>
      </w:pPr>
      <w:r>
        <w:rPr>
          <w:rFonts w:asciiTheme="minorHAnsi" w:hAnsiTheme="minorHAnsi" w:cstheme="minorHAnsi"/>
          <w:sz w:val="24"/>
          <w:szCs w:val="24"/>
        </w:rPr>
        <w:t>De egreso</w:t>
      </w:r>
    </w:p>
    <w:p w14:paraId="47BA70CB">
      <w:pPr>
        <w:rPr>
          <w:rFonts w:asciiTheme="minorHAnsi" w:hAnsiTheme="minorHAnsi" w:cstheme="minorHAnsi"/>
          <w:sz w:val="24"/>
          <w:szCs w:val="24"/>
          <w:lang w:eastAsia="en-US"/>
        </w:rPr>
      </w:pPr>
    </w:p>
    <w:p w14:paraId="5685E939">
      <w:pPr>
        <w:pStyle w:val="51"/>
        <w:numPr>
          <w:ilvl w:val="4"/>
          <w:numId w:val="34"/>
        </w:numPr>
        <w:rPr>
          <w:b/>
          <w:bCs/>
        </w:rPr>
      </w:pPr>
      <w:commentRangeStart w:id="13"/>
      <w:r>
        <w:rPr>
          <w:b/>
          <w:bCs/>
        </w:rPr>
        <w:t>Pruebas psicotécnicas</w:t>
      </w:r>
      <w:commentRangeEnd w:id="13"/>
      <w:r>
        <w:commentReference w:id="13"/>
      </w:r>
    </w:p>
    <w:p w14:paraId="6A510280">
      <w:pPr>
        <w:spacing w:line="276" w:lineRule="auto"/>
        <w:rPr>
          <w:rFonts w:asciiTheme="minorHAnsi" w:hAnsiTheme="minorHAnsi" w:cstheme="minorHAnsi"/>
          <w:sz w:val="24"/>
          <w:szCs w:val="24"/>
          <w:lang w:eastAsia="es-CO"/>
        </w:rPr>
      </w:pPr>
    </w:p>
    <w:p w14:paraId="40D9DDB0">
      <w:pPr>
        <w:spacing w:line="276" w:lineRule="auto"/>
        <w:rPr>
          <w:rFonts w:asciiTheme="minorHAnsi" w:hAnsiTheme="minorHAnsi" w:cstheme="minorHAnsi"/>
          <w:sz w:val="24"/>
          <w:szCs w:val="24"/>
        </w:rPr>
      </w:pPr>
      <w:r>
        <w:rPr>
          <w:rFonts w:asciiTheme="minorHAnsi" w:hAnsiTheme="minorHAnsi" w:cstheme="minorHAnsi"/>
          <w:sz w:val="24"/>
          <w:szCs w:val="24"/>
        </w:rPr>
        <w:t>Este tipo de pruebas es planificado y ejecutado por los psicólogos ocupacionales (Psicólogos Laborales) que hacen parte del Grupo de Seguridad y Salud en el Trabajo de la entidad, los cuales cuentan con licencia de salud ocupacional (o seguridad y salud en el trabajo, la aplicación de este tipo de exámenes es direccionado por el profesiograma médico).</w:t>
      </w:r>
    </w:p>
    <w:p w14:paraId="011A8614">
      <w:pPr>
        <w:spacing w:line="276" w:lineRule="auto"/>
        <w:rPr>
          <w:rFonts w:asciiTheme="minorHAnsi" w:hAnsiTheme="minorHAnsi" w:cstheme="minorHAnsi"/>
          <w:sz w:val="24"/>
          <w:szCs w:val="24"/>
        </w:rPr>
      </w:pPr>
    </w:p>
    <w:p w14:paraId="71965846">
      <w:pPr>
        <w:pStyle w:val="51"/>
        <w:numPr>
          <w:ilvl w:val="4"/>
          <w:numId w:val="34"/>
        </w:numPr>
        <w:rPr>
          <w:b/>
          <w:bCs/>
        </w:rPr>
      </w:pPr>
      <w:r>
        <w:rPr>
          <w:b/>
          <w:bCs/>
        </w:rPr>
        <w:t>Idoneidad de exámenes médicos</w:t>
      </w:r>
    </w:p>
    <w:p w14:paraId="2FC55950">
      <w:pPr>
        <w:spacing w:line="276" w:lineRule="auto"/>
        <w:rPr>
          <w:rFonts w:asciiTheme="minorHAnsi" w:hAnsiTheme="minorHAnsi" w:cstheme="minorHAnsi"/>
          <w:sz w:val="24"/>
          <w:szCs w:val="24"/>
          <w:lang w:eastAsia="es-CO"/>
        </w:rPr>
      </w:pPr>
    </w:p>
    <w:p w14:paraId="41001606">
      <w:pPr>
        <w:autoSpaceDE w:val="0"/>
        <w:autoSpaceDN w:val="0"/>
        <w:adjustRightInd w:val="0"/>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 xml:space="preserve">Los empleados públicos y trabajadores oficiales que ingresen a la entidad o que ya hacen parte de ella en calidad de conductores, se les practicaran los exámenes médicos ocupacionales, clínicos y paraclínicos contenidos en el profesiograma relacionado en la </w:t>
      </w:r>
      <w:r>
        <w:rPr>
          <w:rFonts w:eastAsia="Calibri" w:asciiTheme="minorHAnsi" w:hAnsiTheme="minorHAnsi" w:cstheme="minorHAnsi"/>
          <w:i/>
          <w:sz w:val="24"/>
          <w:szCs w:val="24"/>
          <w:lang w:eastAsia="en-US"/>
        </w:rPr>
        <w:t>tabla No. 28 profesiograma para conductores</w:t>
      </w:r>
      <w:r>
        <w:rPr>
          <w:rFonts w:eastAsia="Calibri" w:asciiTheme="minorHAnsi" w:hAnsiTheme="minorHAnsi" w:cstheme="minorHAnsi"/>
          <w:sz w:val="24"/>
          <w:szCs w:val="24"/>
          <w:lang w:eastAsia="en-US"/>
        </w:rPr>
        <w:t>, en una respectiva IPS certificada, cuyo costo será asumido por el SENA de conformidad con la resolución 2346 de 2007 y resolución 1918 de 2009. La Dirección General del SENA contratará este tipo de instituciones dentro de su plan anual de contratación verificando previamente la resolución 2003 de 2014 del Ministerio de Salud y Protección Social por medio del cual se establece los requisitos de habilitación de entidades prestadoras de servicios de salud.</w:t>
      </w:r>
    </w:p>
    <w:p w14:paraId="5D9623D6">
      <w:pPr>
        <w:autoSpaceDE w:val="0"/>
        <w:autoSpaceDN w:val="0"/>
        <w:adjustRightInd w:val="0"/>
        <w:spacing w:line="276" w:lineRule="auto"/>
        <w:rPr>
          <w:rFonts w:eastAsia="Calibri" w:asciiTheme="minorHAnsi" w:hAnsiTheme="minorHAnsi" w:cstheme="minorHAnsi"/>
          <w:sz w:val="24"/>
          <w:szCs w:val="24"/>
          <w:lang w:eastAsia="en-US"/>
        </w:rPr>
      </w:pPr>
    </w:p>
    <w:p w14:paraId="3B59B45B">
      <w:pPr>
        <w:pStyle w:val="51"/>
        <w:numPr>
          <w:ilvl w:val="4"/>
          <w:numId w:val="34"/>
        </w:numPr>
        <w:rPr>
          <w:b/>
          <w:bCs/>
        </w:rPr>
      </w:pPr>
      <w:r>
        <w:rPr>
          <w:b/>
          <w:bCs/>
        </w:rPr>
        <w:t xml:space="preserve">Pruebas de </w:t>
      </w:r>
      <w:commentRangeStart w:id="14"/>
      <w:r>
        <w:rPr>
          <w:b/>
          <w:bCs/>
        </w:rPr>
        <w:t>evaluación de conocimiento y habilidades de conducción</w:t>
      </w:r>
      <w:commentRangeEnd w:id="14"/>
      <w:r>
        <w:commentReference w:id="14"/>
      </w:r>
    </w:p>
    <w:p w14:paraId="7B68C82B">
      <w:pPr>
        <w:spacing w:line="276" w:lineRule="auto"/>
        <w:rPr>
          <w:rFonts w:asciiTheme="minorHAnsi" w:hAnsiTheme="minorHAnsi" w:cstheme="minorHAnsi"/>
          <w:sz w:val="24"/>
          <w:szCs w:val="24"/>
          <w:lang w:eastAsia="es-CO"/>
        </w:rPr>
      </w:pPr>
    </w:p>
    <w:p w14:paraId="7DD413E7">
      <w:pPr>
        <w:autoSpaceDE w:val="0"/>
        <w:autoSpaceDN w:val="0"/>
        <w:adjustRightInd w:val="0"/>
        <w:spacing w:line="276" w:lineRule="auto"/>
        <w:rPr>
          <w:rFonts w:asciiTheme="minorHAnsi" w:hAnsiTheme="minorHAnsi" w:cstheme="minorHAnsi"/>
          <w:sz w:val="24"/>
          <w:szCs w:val="24"/>
        </w:rPr>
      </w:pPr>
      <w:r>
        <w:rPr>
          <w:rFonts w:asciiTheme="minorHAnsi" w:hAnsiTheme="minorHAnsi" w:cstheme="minorHAnsi"/>
          <w:sz w:val="24"/>
          <w:szCs w:val="24"/>
        </w:rPr>
        <w:t>El SENA, aplicara durante los procesos de selección y reclutamiento de nuevo personal de planta, las pruebas teóricas y prácticas dirigidas a conductores; mientras que para quienes ya hacen parte de la planta de trabajadores, planificara un cronograma de formación bianual con el objetivo de dar cobertura de la aplicación de dichas pruebas a los conductores de planta de la institución.</w:t>
      </w:r>
    </w:p>
    <w:p w14:paraId="4C0C6F8A">
      <w:pPr>
        <w:autoSpaceDE w:val="0"/>
        <w:autoSpaceDN w:val="0"/>
        <w:adjustRightInd w:val="0"/>
        <w:spacing w:line="276" w:lineRule="auto"/>
        <w:rPr>
          <w:rFonts w:asciiTheme="minorHAnsi" w:hAnsiTheme="minorHAnsi" w:cstheme="minorHAnsi"/>
          <w:b/>
          <w:sz w:val="24"/>
          <w:szCs w:val="24"/>
        </w:rPr>
      </w:pPr>
    </w:p>
    <w:p w14:paraId="141FED42">
      <w:pPr>
        <w:numPr>
          <w:ilvl w:val="0"/>
          <w:numId w:val="37"/>
        </w:numPr>
        <w:spacing w:line="276" w:lineRule="auto"/>
        <w:ind w:left="540" w:hanging="540"/>
        <w:rPr>
          <w:rFonts w:asciiTheme="minorHAnsi" w:hAnsiTheme="minorHAnsi" w:cstheme="minorHAnsi"/>
          <w:sz w:val="24"/>
          <w:szCs w:val="24"/>
          <w:lang/>
        </w:rPr>
      </w:pPr>
      <w:bookmarkStart w:id="106" w:name="_Toc503253314"/>
      <w:bookmarkStart w:id="107" w:name="_Toc503254125"/>
      <w:r>
        <w:rPr>
          <w:rFonts w:asciiTheme="minorHAnsi" w:hAnsiTheme="minorHAnsi" w:cstheme="minorHAnsi"/>
          <w:sz w:val="24"/>
          <w:szCs w:val="24"/>
          <w:lang/>
        </w:rPr>
        <w:t>Prueba Teórica</w:t>
      </w:r>
      <w:bookmarkEnd w:id="106"/>
      <w:bookmarkEnd w:id="107"/>
      <w:r>
        <w:rPr>
          <w:rFonts w:asciiTheme="minorHAnsi" w:hAnsiTheme="minorHAnsi" w:cstheme="minorHAnsi"/>
          <w:sz w:val="24"/>
          <w:szCs w:val="24"/>
          <w:lang/>
        </w:rPr>
        <w:t xml:space="preserve"> </w:t>
      </w:r>
    </w:p>
    <w:p w14:paraId="501EBD1D">
      <w:pPr>
        <w:spacing w:line="276" w:lineRule="auto"/>
        <w:ind w:left="540"/>
        <w:rPr>
          <w:rFonts w:asciiTheme="minorHAnsi" w:hAnsiTheme="minorHAnsi" w:cstheme="minorHAnsi"/>
          <w:sz w:val="24"/>
          <w:szCs w:val="24"/>
          <w:lang/>
        </w:rPr>
      </w:pPr>
    </w:p>
    <w:p w14:paraId="27DDB493">
      <w:pPr>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Esta prueba debe medir el nivel de conocimiento del conductor, sobre los factores propios de la conducción, normatividad, vía y del vehículo que va a conducir, en donde se utiliza un modelo base de pruebas para el SENA que al aplicarlo validará los conocimientos teóricos en manejo defensivo, adicionalmente se desarrollara una prueba específica de conocimiento teórico según el tipo de vehículo que opere el conductor.</w:t>
      </w:r>
    </w:p>
    <w:p w14:paraId="7F653CB2">
      <w:pPr>
        <w:spacing w:line="276" w:lineRule="auto"/>
        <w:rPr>
          <w:rFonts w:eastAsia="Calibri" w:asciiTheme="minorHAnsi" w:hAnsiTheme="minorHAnsi" w:cstheme="minorHAnsi"/>
          <w:sz w:val="24"/>
          <w:szCs w:val="24"/>
          <w:lang w:eastAsia="en-US"/>
        </w:rPr>
      </w:pPr>
    </w:p>
    <w:p w14:paraId="69D67BF0">
      <w:pPr>
        <w:numPr>
          <w:ilvl w:val="0"/>
          <w:numId w:val="37"/>
        </w:numPr>
        <w:spacing w:line="276" w:lineRule="auto"/>
        <w:ind w:left="540" w:firstLine="594"/>
        <w:rPr>
          <w:rFonts w:asciiTheme="minorHAnsi" w:hAnsiTheme="minorHAnsi" w:cstheme="minorHAnsi"/>
          <w:sz w:val="24"/>
          <w:szCs w:val="24"/>
        </w:rPr>
      </w:pPr>
      <w:r>
        <w:rPr>
          <w:rFonts w:asciiTheme="minorHAnsi" w:hAnsiTheme="minorHAnsi" w:cstheme="minorHAnsi"/>
          <w:sz w:val="24"/>
          <w:szCs w:val="24"/>
        </w:rPr>
        <w:t>Evaluación teórica vehículo liviano</w:t>
      </w:r>
    </w:p>
    <w:p w14:paraId="645D8904">
      <w:pPr>
        <w:numPr>
          <w:ilvl w:val="0"/>
          <w:numId w:val="37"/>
        </w:numPr>
        <w:spacing w:line="276" w:lineRule="auto"/>
        <w:ind w:left="540" w:firstLine="594"/>
        <w:rPr>
          <w:rFonts w:asciiTheme="minorHAnsi" w:hAnsiTheme="minorHAnsi" w:cstheme="minorHAnsi"/>
          <w:sz w:val="24"/>
          <w:szCs w:val="24"/>
        </w:rPr>
      </w:pPr>
      <w:r>
        <w:rPr>
          <w:rFonts w:asciiTheme="minorHAnsi" w:hAnsiTheme="minorHAnsi" w:cstheme="minorHAnsi"/>
          <w:sz w:val="24"/>
          <w:szCs w:val="24"/>
        </w:rPr>
        <w:t>Evaluación teórica vehículo pesado</w:t>
      </w:r>
    </w:p>
    <w:p w14:paraId="735E4EB1">
      <w:pPr>
        <w:numPr>
          <w:ilvl w:val="0"/>
          <w:numId w:val="37"/>
        </w:numPr>
        <w:spacing w:line="276" w:lineRule="auto"/>
        <w:ind w:left="540" w:firstLine="594"/>
        <w:rPr>
          <w:rFonts w:asciiTheme="minorHAnsi" w:hAnsiTheme="minorHAnsi" w:cstheme="minorHAnsi"/>
          <w:sz w:val="24"/>
          <w:szCs w:val="24"/>
        </w:rPr>
      </w:pPr>
      <w:r>
        <w:rPr>
          <w:rFonts w:asciiTheme="minorHAnsi" w:hAnsiTheme="minorHAnsi" w:cstheme="minorHAnsi"/>
          <w:sz w:val="24"/>
          <w:szCs w:val="24"/>
        </w:rPr>
        <w:t>Evaluación teórica motocicleta</w:t>
      </w:r>
    </w:p>
    <w:p w14:paraId="03FDE041">
      <w:pPr>
        <w:numPr>
          <w:ilvl w:val="0"/>
          <w:numId w:val="37"/>
        </w:numPr>
        <w:spacing w:line="276" w:lineRule="auto"/>
        <w:ind w:left="540" w:firstLine="594"/>
        <w:rPr>
          <w:rFonts w:asciiTheme="minorHAnsi" w:hAnsiTheme="minorHAnsi" w:cstheme="minorHAnsi"/>
          <w:sz w:val="24"/>
          <w:szCs w:val="24"/>
        </w:rPr>
      </w:pPr>
      <w:r>
        <w:rPr>
          <w:rFonts w:asciiTheme="minorHAnsi" w:hAnsiTheme="minorHAnsi" w:cstheme="minorHAnsi"/>
          <w:sz w:val="24"/>
          <w:szCs w:val="24"/>
        </w:rPr>
        <w:t>Evaluación teórica vehículo de carga extra dimensionada</w:t>
      </w:r>
    </w:p>
    <w:p w14:paraId="3D90CC25">
      <w:pPr>
        <w:numPr>
          <w:ilvl w:val="0"/>
          <w:numId w:val="37"/>
        </w:numPr>
        <w:spacing w:line="276" w:lineRule="auto"/>
        <w:ind w:left="540" w:firstLine="594"/>
        <w:rPr>
          <w:rFonts w:asciiTheme="minorHAnsi" w:hAnsiTheme="minorHAnsi" w:cstheme="minorHAnsi"/>
          <w:sz w:val="24"/>
          <w:szCs w:val="24"/>
        </w:rPr>
      </w:pPr>
      <w:r>
        <w:rPr>
          <w:rFonts w:asciiTheme="minorHAnsi" w:hAnsiTheme="minorHAnsi" w:cstheme="minorHAnsi"/>
          <w:sz w:val="24"/>
          <w:szCs w:val="24"/>
        </w:rPr>
        <w:t>Evaluación teórica mecánica básica</w:t>
      </w:r>
    </w:p>
    <w:p w14:paraId="76F4798F">
      <w:pPr>
        <w:numPr>
          <w:ilvl w:val="0"/>
          <w:numId w:val="37"/>
        </w:numPr>
        <w:spacing w:line="276" w:lineRule="auto"/>
        <w:ind w:left="540" w:firstLine="594"/>
        <w:rPr>
          <w:rFonts w:asciiTheme="minorHAnsi" w:hAnsiTheme="minorHAnsi" w:cstheme="minorHAnsi"/>
          <w:sz w:val="24"/>
          <w:szCs w:val="24"/>
        </w:rPr>
      </w:pPr>
      <w:r>
        <w:rPr>
          <w:rFonts w:asciiTheme="minorHAnsi" w:hAnsiTheme="minorHAnsi" w:cstheme="minorHAnsi"/>
          <w:sz w:val="24"/>
          <w:szCs w:val="24"/>
        </w:rPr>
        <w:t>Evaluación teórica vehículos 4 x 4</w:t>
      </w:r>
      <w:bookmarkStart w:id="108" w:name="_Toc503254126"/>
      <w:bookmarkStart w:id="109" w:name="_Toc503253315"/>
    </w:p>
    <w:p w14:paraId="1BE86627">
      <w:pPr>
        <w:spacing w:line="276" w:lineRule="auto"/>
        <w:ind w:left="1134"/>
        <w:rPr>
          <w:rFonts w:asciiTheme="minorHAnsi" w:hAnsiTheme="minorHAnsi" w:cstheme="minorHAnsi"/>
          <w:sz w:val="24"/>
          <w:szCs w:val="24"/>
        </w:rPr>
      </w:pPr>
    </w:p>
    <w:p w14:paraId="3DA39BBE">
      <w:pPr>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 xml:space="preserve">Estas pruebas se realizarán únicamente en los procesos de reclutamiento, </w:t>
      </w:r>
      <w:commentRangeStart w:id="15"/>
      <w:r>
        <w:rPr>
          <w:rFonts w:eastAsia="Calibri" w:asciiTheme="minorHAnsi" w:hAnsiTheme="minorHAnsi" w:cstheme="minorHAnsi"/>
          <w:sz w:val="24"/>
          <w:szCs w:val="24"/>
          <w:lang w:eastAsia="en-US"/>
        </w:rPr>
        <w:t>anualmente se realizarán sensibilizaciones, cada tres años en tópic</w:t>
      </w:r>
      <w:commentRangeEnd w:id="15"/>
      <w:r>
        <w:rPr>
          <w:rStyle w:val="13"/>
          <w:rFonts w:eastAsia="Calibri" w:cs="Times New Roman"/>
          <w:lang w:eastAsia="en-US"/>
        </w:rPr>
        <w:commentReference w:id="15"/>
      </w:r>
      <w:r>
        <w:rPr>
          <w:rFonts w:eastAsia="Calibri" w:asciiTheme="minorHAnsi" w:hAnsiTheme="minorHAnsi" w:cstheme="minorHAnsi"/>
          <w:sz w:val="24"/>
          <w:szCs w:val="24"/>
          <w:lang w:eastAsia="en-US"/>
        </w:rPr>
        <w:t>os generales de prevención durante la conducción y temas asociados a seguridad vial.</w:t>
      </w:r>
      <w:bookmarkEnd w:id="108"/>
      <w:bookmarkEnd w:id="109"/>
    </w:p>
    <w:p w14:paraId="489A9CFE">
      <w:pPr>
        <w:spacing w:line="276" w:lineRule="auto"/>
        <w:rPr>
          <w:rFonts w:eastAsia="Calibri" w:asciiTheme="minorHAnsi" w:hAnsiTheme="minorHAnsi" w:cstheme="minorHAnsi"/>
          <w:sz w:val="24"/>
          <w:szCs w:val="24"/>
          <w:lang w:eastAsia="en-US"/>
        </w:rPr>
      </w:pPr>
    </w:p>
    <w:p w14:paraId="7CBC2F4C">
      <w:pPr>
        <w:spacing w:line="276" w:lineRule="auto"/>
        <w:rPr>
          <w:rFonts w:eastAsia="Calibri" w:asciiTheme="minorHAnsi" w:hAnsiTheme="minorHAnsi" w:cstheme="minorHAnsi"/>
          <w:sz w:val="24"/>
          <w:szCs w:val="24"/>
          <w:lang w:eastAsia="en-US"/>
        </w:rPr>
      </w:pPr>
    </w:p>
    <w:p w14:paraId="6E85955C">
      <w:pPr>
        <w:pStyle w:val="51"/>
        <w:numPr>
          <w:ilvl w:val="0"/>
          <w:numId w:val="38"/>
        </w:numPr>
        <w:spacing w:after="0" w:line="276" w:lineRule="auto"/>
        <w:ind w:left="540" w:hanging="540"/>
        <w:rPr>
          <w:rFonts w:asciiTheme="minorHAnsi" w:hAnsiTheme="minorHAnsi" w:cstheme="minorHAnsi"/>
          <w:b/>
          <w:sz w:val="24"/>
          <w:szCs w:val="24"/>
          <w:lang/>
        </w:rPr>
      </w:pPr>
      <w:r>
        <w:rPr>
          <w:rFonts w:asciiTheme="minorHAnsi" w:hAnsiTheme="minorHAnsi" w:cstheme="minorHAnsi"/>
          <w:b/>
          <w:sz w:val="24"/>
          <w:szCs w:val="24"/>
          <w:lang/>
        </w:rPr>
        <w:t>Prueba Práctica</w:t>
      </w:r>
    </w:p>
    <w:p w14:paraId="15BFE981">
      <w:pPr>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Esta prueba</w:t>
      </w:r>
      <w:r>
        <w:rPr>
          <w:rFonts w:eastAsia="Calibri" w:asciiTheme="minorHAnsi" w:hAnsiTheme="minorHAnsi" w:cstheme="minorHAnsi"/>
          <w:sz w:val="24"/>
          <w:szCs w:val="24"/>
          <w:lang w:eastAsia="en-US"/>
        </w:rPr>
        <w:t xml:space="preserve"> permita conocer los hábitos y habilidades en la conducción, estas pruebas deben estar basadas de acuerdo a las características del vehículo o vehículos que maneje, el cual determinara el modelo de evaluación de desempeño a diligenciar y aplicar para la prueba práctica, para los casos en donde el conductor opere más de un vehículo se determinara la prueba  </w:t>
      </w:r>
    </w:p>
    <w:p w14:paraId="7E6DAFBC">
      <w:pPr>
        <w:spacing w:line="276" w:lineRule="auto"/>
        <w:rPr>
          <w:rFonts w:asciiTheme="minorHAnsi" w:hAnsiTheme="minorHAnsi" w:cstheme="minorHAnsi"/>
          <w:b/>
          <w:i/>
          <w:sz w:val="24"/>
          <w:szCs w:val="24"/>
        </w:rPr>
      </w:pPr>
    </w:p>
    <w:p w14:paraId="50FBB023">
      <w:pPr>
        <w:spacing w:line="276" w:lineRule="auto"/>
        <w:rPr>
          <w:rFonts w:eastAsia="Calibri" w:asciiTheme="minorHAnsi" w:hAnsiTheme="minorHAnsi" w:cstheme="minorHAnsi"/>
          <w:sz w:val="24"/>
          <w:szCs w:val="24"/>
          <w:lang w:eastAsia="en-US"/>
        </w:rPr>
      </w:pPr>
      <w:bookmarkStart w:id="110" w:name="_Toc503254127"/>
      <w:bookmarkStart w:id="111" w:name="_Toc503253316"/>
      <w:r>
        <w:rPr>
          <w:rFonts w:eastAsia="Calibri" w:asciiTheme="minorHAnsi" w:hAnsiTheme="minorHAnsi" w:cstheme="minorHAnsi"/>
          <w:sz w:val="24"/>
          <w:szCs w:val="24"/>
          <w:lang w:eastAsia="en-US"/>
        </w:rPr>
        <w:t>Estas pruebas se realizarán en los procesos de reclutamiento, anualmente se realizarán sensibilizaciones en tópicos generales de prevención durante la conducción y temas asociados a seguridad vial</w:t>
      </w:r>
      <w:bookmarkEnd w:id="110"/>
      <w:bookmarkEnd w:id="111"/>
      <w:r>
        <w:rPr>
          <w:rFonts w:eastAsia="Calibri" w:asciiTheme="minorHAnsi" w:hAnsiTheme="minorHAnsi" w:cstheme="minorHAnsi"/>
          <w:sz w:val="24"/>
          <w:szCs w:val="24"/>
          <w:lang w:eastAsia="en-US"/>
        </w:rPr>
        <w:t>, establecidos en el plan de capacitación anual establecido por el grupo de Seguridad y Salud en el trabajo.</w:t>
      </w:r>
    </w:p>
    <w:p w14:paraId="62A11DD5">
      <w:pPr>
        <w:spacing w:line="276" w:lineRule="auto"/>
        <w:rPr>
          <w:rFonts w:eastAsia="Calibri" w:asciiTheme="minorHAnsi" w:hAnsiTheme="minorHAnsi" w:cstheme="minorHAnsi"/>
          <w:sz w:val="24"/>
          <w:szCs w:val="24"/>
          <w:lang w:eastAsia="en-US"/>
        </w:rPr>
      </w:pPr>
    </w:p>
    <w:p w14:paraId="5A025C87">
      <w:pPr>
        <w:pStyle w:val="51"/>
        <w:numPr>
          <w:ilvl w:val="4"/>
          <w:numId w:val="34"/>
        </w:numPr>
        <w:rPr>
          <w:rFonts w:asciiTheme="minorHAnsi" w:hAnsiTheme="minorHAnsi" w:cstheme="minorHAnsi"/>
          <w:sz w:val="24"/>
          <w:szCs w:val="24"/>
        </w:rPr>
      </w:pPr>
      <w:r>
        <w:rPr>
          <w:b/>
          <w:bCs/>
        </w:rPr>
        <w:t xml:space="preserve">Idoneidad de </w:t>
      </w:r>
      <w:commentRangeStart w:id="16"/>
      <w:r>
        <w:rPr>
          <w:b/>
          <w:bCs/>
        </w:rPr>
        <w:t>quien realiza las pruebas teóricas y prácticas</w:t>
      </w:r>
      <w:commentRangeEnd w:id="16"/>
      <w:r>
        <w:commentReference w:id="16"/>
      </w:r>
    </w:p>
    <w:p w14:paraId="27A49351">
      <w:pPr>
        <w:spacing w:line="276" w:lineRule="auto"/>
        <w:rPr>
          <w:rFonts w:asciiTheme="minorHAnsi" w:hAnsiTheme="minorHAnsi" w:cstheme="minorHAnsi"/>
          <w:sz w:val="24"/>
          <w:szCs w:val="24"/>
          <w:lang w:eastAsia="es-CO"/>
        </w:rPr>
      </w:pPr>
    </w:p>
    <w:p w14:paraId="6FB44FF5">
      <w:pPr>
        <w:spacing w:line="276" w:lineRule="auto"/>
        <w:rPr>
          <w:rFonts w:asciiTheme="minorHAnsi" w:hAnsiTheme="minorHAnsi" w:cstheme="minorHAnsi"/>
          <w:sz w:val="24"/>
          <w:szCs w:val="24"/>
        </w:rPr>
      </w:pPr>
      <w:r>
        <w:rPr>
          <w:rFonts w:asciiTheme="minorHAnsi" w:hAnsiTheme="minorHAnsi" w:cstheme="minorHAnsi"/>
          <w:sz w:val="24"/>
          <w:szCs w:val="24"/>
        </w:rPr>
        <w:t xml:space="preserve">Las pruebas teóricas y prácticas serán aplicadas por empresas avaladas con licencia de salud ocupacional y por personal con las credenciales de certificaciones requeridas por la legislación colombiana, y que será seleccionado por el </w:t>
      </w:r>
      <w:r>
        <w:rPr>
          <w:rFonts w:asciiTheme="minorHAnsi" w:hAnsiTheme="minorHAnsi" w:cstheme="minorHAnsi"/>
          <w:sz w:val="24"/>
          <w:szCs w:val="24"/>
          <w:highlight w:val="yellow"/>
        </w:rPr>
        <w:t>Líder</w:t>
      </w:r>
      <w:r>
        <w:rPr>
          <w:rFonts w:asciiTheme="minorHAnsi" w:hAnsiTheme="minorHAnsi" w:cstheme="minorHAnsi"/>
          <w:sz w:val="24"/>
          <w:szCs w:val="24"/>
        </w:rPr>
        <w:t xml:space="preserve"> del PESV a nivel nacional.</w:t>
      </w:r>
    </w:p>
    <w:p w14:paraId="11015ADE">
      <w:pPr>
        <w:spacing w:line="276" w:lineRule="auto"/>
        <w:rPr>
          <w:rFonts w:asciiTheme="minorHAnsi" w:hAnsiTheme="minorHAnsi" w:cstheme="minorHAnsi"/>
          <w:b/>
          <w:sz w:val="24"/>
          <w:szCs w:val="24"/>
        </w:rPr>
      </w:pPr>
    </w:p>
    <w:p w14:paraId="55F67AC5">
      <w:pPr>
        <w:pStyle w:val="4"/>
        <w:numPr>
          <w:ilvl w:val="2"/>
          <w:numId w:val="33"/>
        </w:numPr>
        <w:spacing w:before="0"/>
        <w:rPr>
          <w:rFonts w:asciiTheme="minorHAnsi" w:hAnsiTheme="minorHAnsi" w:cstheme="minorHAnsi"/>
          <w:sz w:val="24"/>
          <w:szCs w:val="24"/>
        </w:rPr>
      </w:pPr>
      <w:bookmarkStart w:id="112" w:name="_Toc188966799"/>
      <w:r>
        <w:rPr>
          <w:rFonts w:asciiTheme="minorHAnsi" w:hAnsiTheme="minorHAnsi" w:cstheme="minorHAnsi"/>
          <w:sz w:val="24"/>
          <w:szCs w:val="24"/>
        </w:rPr>
        <w:t>FUNCIONES Y RESPONSABILIDADES EN SEGURIDAD VIAL</w:t>
      </w:r>
      <w:bookmarkEnd w:id="112"/>
    </w:p>
    <w:p w14:paraId="4E00DA5B">
      <w:pPr>
        <w:rPr>
          <w:lang w:eastAsia="es-CO"/>
        </w:rPr>
      </w:pPr>
      <w:bookmarkStart w:id="113" w:name="_Toc453839007"/>
      <w:bookmarkStart w:id="114" w:name="_Toc519172533"/>
      <w:bookmarkStart w:id="115" w:name="_Toc497841891"/>
      <w:bookmarkStart w:id="116" w:name="_Toc485297484"/>
    </w:p>
    <w:p w14:paraId="69DEA7B0">
      <w:pPr>
        <w:rPr>
          <w:lang w:eastAsia="es-CO"/>
        </w:rPr>
      </w:pPr>
    </w:p>
    <w:p w14:paraId="0668B3F3">
      <w:pPr>
        <w:pStyle w:val="4"/>
        <w:numPr>
          <w:ilvl w:val="3"/>
          <w:numId w:val="33"/>
        </w:numPr>
        <w:spacing w:before="0"/>
        <w:rPr>
          <w:rFonts w:asciiTheme="minorHAnsi" w:hAnsiTheme="minorHAnsi" w:cstheme="minorHAnsi"/>
          <w:iCs/>
          <w:sz w:val="24"/>
          <w:szCs w:val="24"/>
        </w:rPr>
      </w:pPr>
      <w:bookmarkStart w:id="117" w:name="_Toc188966800"/>
      <w:r>
        <w:rPr>
          <w:rFonts w:asciiTheme="minorHAnsi" w:hAnsiTheme="minorHAnsi" w:cstheme="minorHAnsi"/>
          <w:iCs/>
          <w:sz w:val="24"/>
          <w:szCs w:val="24"/>
        </w:rPr>
        <w:t>CONTROL DOCUMENTACIÓN DE CONDUCTORES</w:t>
      </w:r>
      <w:bookmarkEnd w:id="113"/>
      <w:bookmarkEnd w:id="114"/>
      <w:bookmarkEnd w:id="115"/>
      <w:bookmarkEnd w:id="116"/>
      <w:bookmarkEnd w:id="117"/>
    </w:p>
    <w:p w14:paraId="79CC1CA8">
      <w:pPr>
        <w:spacing w:line="276" w:lineRule="auto"/>
        <w:outlineLvl w:val="1"/>
        <w:rPr>
          <w:rFonts w:asciiTheme="minorHAnsi" w:hAnsiTheme="minorHAnsi" w:cstheme="minorHAnsi"/>
          <w:b/>
          <w:sz w:val="24"/>
          <w:szCs w:val="24"/>
        </w:rPr>
      </w:pPr>
    </w:p>
    <w:p w14:paraId="598A395E">
      <w:pPr>
        <w:spacing w:line="276" w:lineRule="auto"/>
        <w:rPr>
          <w:rFonts w:asciiTheme="minorHAnsi" w:hAnsiTheme="minorHAnsi" w:cstheme="minorHAnsi"/>
          <w:sz w:val="24"/>
          <w:szCs w:val="24"/>
        </w:rPr>
      </w:pPr>
      <w:r>
        <w:rPr>
          <w:rFonts w:asciiTheme="minorHAnsi" w:hAnsiTheme="minorHAnsi" w:cstheme="minorHAnsi"/>
          <w:sz w:val="24"/>
          <w:szCs w:val="24"/>
        </w:rPr>
        <w:t xml:space="preserve">La responsabilidad de cada </w:t>
      </w:r>
      <w:commentRangeStart w:id="17"/>
      <w:r>
        <w:rPr>
          <w:rFonts w:asciiTheme="minorHAnsi" w:hAnsiTheme="minorHAnsi" w:cstheme="minorHAnsi"/>
          <w:sz w:val="24"/>
          <w:szCs w:val="24"/>
        </w:rPr>
        <w:t xml:space="preserve">Comité Regional de seguridad vial-CRSV </w:t>
      </w:r>
      <w:commentRangeEnd w:id="17"/>
      <w:r>
        <w:rPr>
          <w:rStyle w:val="13"/>
          <w:rFonts w:eastAsia="Calibri" w:cs="Times New Roman"/>
          <w:lang w:eastAsia="en-US"/>
        </w:rPr>
        <w:commentReference w:id="17"/>
      </w:r>
      <w:r>
        <w:rPr>
          <w:rFonts w:asciiTheme="minorHAnsi" w:hAnsiTheme="minorHAnsi" w:cstheme="minorHAnsi"/>
          <w:sz w:val="24"/>
          <w:szCs w:val="24"/>
        </w:rPr>
        <w:t xml:space="preserve">de recopilar, actualizar y mantener la base de datos e información de los vehículos, conductores y de los funcionarios a quienes se les ha asignado un vehículo o se les ha autorizado el pago del auxilio de rodamiento según </w:t>
      </w:r>
    </w:p>
    <w:p w14:paraId="26C7A537">
      <w:pPr>
        <w:spacing w:line="276" w:lineRule="auto"/>
        <w:rPr>
          <w:rFonts w:asciiTheme="minorHAnsi" w:hAnsiTheme="minorHAnsi" w:cstheme="minorHAnsi"/>
          <w:sz w:val="24"/>
          <w:szCs w:val="24"/>
        </w:rPr>
      </w:pPr>
    </w:p>
    <w:p w14:paraId="5419EF31">
      <w:pPr>
        <w:spacing w:line="276" w:lineRule="auto"/>
        <w:rPr>
          <w:rFonts w:asciiTheme="minorHAnsi" w:hAnsiTheme="minorHAnsi" w:cstheme="minorHAnsi"/>
          <w:sz w:val="24"/>
          <w:szCs w:val="24"/>
        </w:rPr>
      </w:pPr>
      <w:r>
        <w:rPr>
          <w:rFonts w:asciiTheme="minorHAnsi" w:hAnsiTheme="minorHAnsi" w:cstheme="minorHAnsi"/>
          <w:sz w:val="24"/>
          <w:szCs w:val="24"/>
        </w:rPr>
        <w:t xml:space="preserve">lo establecido en la Resolución interna 1313 de 2017, y que contempla la ejecución de actividades misionales en vehículo propio, además de lo que está establecido en los requisitos de la Resolución </w:t>
      </w:r>
      <w:r>
        <w:rPr>
          <w:rFonts w:asciiTheme="minorHAnsi" w:hAnsiTheme="minorHAnsi" w:cstheme="minorHAnsi"/>
          <w:color w:val="00B050"/>
          <w:sz w:val="24"/>
          <w:szCs w:val="24"/>
        </w:rPr>
        <w:t>40595 de 2022</w:t>
      </w:r>
      <w:r>
        <w:rPr>
          <w:rFonts w:asciiTheme="minorHAnsi" w:hAnsiTheme="minorHAnsi" w:cstheme="minorHAnsi"/>
          <w:sz w:val="24"/>
          <w:szCs w:val="24"/>
        </w:rPr>
        <w:t>. Esta información será actualizada cada vez que se registre una novedad y será revisada cada trimestre para validación de fechas de vencimiento de cualquiera de los documentos por parte del Comité Regional y deberá estar disponible para auditorías internas, externas o requerimientos por parte del comité nacional o del delegado para el PESV.</w:t>
      </w:r>
    </w:p>
    <w:p w14:paraId="01FA1E32">
      <w:pPr>
        <w:spacing w:line="276" w:lineRule="auto"/>
        <w:rPr>
          <w:rFonts w:asciiTheme="minorHAnsi" w:hAnsiTheme="minorHAnsi" w:cstheme="minorHAnsi"/>
          <w:sz w:val="24"/>
          <w:szCs w:val="24"/>
        </w:rPr>
      </w:pPr>
    </w:p>
    <w:p w14:paraId="73650D26">
      <w:pPr>
        <w:spacing w:line="276" w:lineRule="auto"/>
        <w:rPr>
          <w:rFonts w:asciiTheme="minorHAnsi" w:hAnsiTheme="minorHAnsi" w:cstheme="minorHAnsi"/>
          <w:sz w:val="24"/>
          <w:szCs w:val="24"/>
        </w:rPr>
      </w:pPr>
      <w:r>
        <w:rPr>
          <w:rFonts w:asciiTheme="minorHAnsi" w:hAnsiTheme="minorHAnsi" w:cstheme="minorHAnsi"/>
          <w:sz w:val="24"/>
          <w:szCs w:val="24"/>
        </w:rPr>
        <w:t>La información aquí recopilada se ajusta a lo indicado en la Ley de Habeas Data.</w:t>
      </w:r>
    </w:p>
    <w:p w14:paraId="3296E456">
      <w:pPr>
        <w:spacing w:line="276" w:lineRule="auto"/>
        <w:rPr>
          <w:rFonts w:asciiTheme="minorHAnsi" w:hAnsiTheme="minorHAnsi" w:cstheme="minorHAnsi"/>
          <w:bCs/>
          <w:sz w:val="24"/>
          <w:szCs w:val="24"/>
        </w:rPr>
      </w:pPr>
    </w:p>
    <w:p w14:paraId="0B66D9C0">
      <w:pPr>
        <w:pStyle w:val="4"/>
        <w:numPr>
          <w:ilvl w:val="3"/>
          <w:numId w:val="33"/>
        </w:numPr>
        <w:spacing w:before="0"/>
        <w:rPr>
          <w:rFonts w:asciiTheme="minorHAnsi" w:hAnsiTheme="minorHAnsi" w:cstheme="minorHAnsi"/>
          <w:iCs/>
          <w:sz w:val="24"/>
          <w:szCs w:val="24"/>
        </w:rPr>
      </w:pPr>
      <w:bookmarkStart w:id="118" w:name="_Toc519172535"/>
      <w:bookmarkStart w:id="119" w:name="_Toc188966801"/>
      <w:r>
        <w:rPr>
          <w:rFonts w:asciiTheme="minorHAnsi" w:hAnsiTheme="minorHAnsi" w:cstheme="minorHAnsi"/>
          <w:iCs/>
          <w:sz w:val="24"/>
          <w:szCs w:val="24"/>
        </w:rPr>
        <w:t>GESTIÓN DE INFRACCIONES DE TRANSITO</w:t>
      </w:r>
      <w:bookmarkEnd w:id="118"/>
      <w:bookmarkEnd w:id="119"/>
    </w:p>
    <w:p w14:paraId="03BC5D24">
      <w:pPr>
        <w:spacing w:line="276" w:lineRule="auto"/>
        <w:rPr>
          <w:rFonts w:asciiTheme="minorHAnsi" w:hAnsiTheme="minorHAnsi" w:cstheme="minorHAnsi"/>
          <w:b/>
          <w:sz w:val="24"/>
          <w:szCs w:val="24"/>
          <w:lang w:val="es-VE"/>
        </w:rPr>
      </w:pPr>
    </w:p>
    <w:p w14:paraId="6C4DDF01">
      <w:pPr>
        <w:spacing w:line="276" w:lineRule="auto"/>
        <w:rPr>
          <w:rFonts w:asciiTheme="minorHAnsi" w:hAnsiTheme="minorHAnsi" w:cstheme="minorHAnsi"/>
          <w:sz w:val="24"/>
          <w:szCs w:val="24"/>
        </w:rPr>
      </w:pPr>
      <w:r>
        <w:rPr>
          <w:rFonts w:asciiTheme="minorHAnsi" w:hAnsiTheme="minorHAnsi" w:cstheme="minorHAnsi"/>
          <w:sz w:val="24"/>
          <w:szCs w:val="24"/>
        </w:rPr>
        <w:t>Es responsabilidad de los administradores del parque automotor velar por que los vehículos se encuentren al día en cuanto al pago de comparendos e infracciones de tránsito, y tener en cuenta siguiendo la circular competente, lo siguiente:</w:t>
      </w:r>
    </w:p>
    <w:p w14:paraId="02711AA9">
      <w:pPr>
        <w:spacing w:line="276" w:lineRule="auto"/>
        <w:rPr>
          <w:rFonts w:asciiTheme="minorHAnsi" w:hAnsiTheme="minorHAnsi" w:cstheme="minorHAnsi"/>
          <w:sz w:val="24"/>
          <w:szCs w:val="24"/>
        </w:rPr>
      </w:pPr>
    </w:p>
    <w:p w14:paraId="48186B15">
      <w:pPr>
        <w:numPr>
          <w:ilvl w:val="3"/>
          <w:numId w:val="39"/>
        </w:numPr>
        <w:spacing w:line="276" w:lineRule="auto"/>
        <w:ind w:left="284" w:hanging="284"/>
        <w:rPr>
          <w:rFonts w:asciiTheme="minorHAnsi" w:hAnsiTheme="minorHAnsi" w:cstheme="minorHAnsi"/>
          <w:sz w:val="24"/>
          <w:szCs w:val="24"/>
        </w:rPr>
      </w:pPr>
      <w:r>
        <w:rPr>
          <w:rFonts w:asciiTheme="minorHAnsi" w:hAnsiTheme="minorHAnsi" w:cstheme="minorHAnsi"/>
          <w:sz w:val="24"/>
          <w:szCs w:val="24"/>
        </w:rPr>
        <w:t xml:space="preserve">Los encargados de la administración del parque automotor en las Direcciones Regional y Centros de Formación permanentemente consultan los comparendos cargados al SENA (NIT: 899999034 y 8999990341) en el link del Sistema Integrado de información sobre multas y sanciones por infracciones de tránsito SIMIT </w:t>
      </w:r>
      <w:r>
        <w:fldChar w:fldCharType="begin"/>
      </w:r>
      <w:r>
        <w:instrText xml:space="preserve"> HYPERLINK "http://www2.simit.org.co/Simit/" </w:instrText>
      </w:r>
      <w:r>
        <w:fldChar w:fldCharType="separate"/>
      </w:r>
      <w:r>
        <w:rPr>
          <w:rFonts w:asciiTheme="minorHAnsi" w:hAnsiTheme="minorHAnsi" w:cstheme="minorHAnsi"/>
          <w:color w:val="0000FF"/>
          <w:sz w:val="24"/>
          <w:szCs w:val="24"/>
          <w:u w:val="single"/>
        </w:rPr>
        <w:t>http://www2.simit.org.co/Simit/</w:t>
      </w:r>
      <w:r>
        <w:rPr>
          <w:rFonts w:asciiTheme="minorHAnsi" w:hAnsiTheme="minorHAnsi" w:cstheme="minorHAnsi"/>
          <w:color w:val="0000FF"/>
          <w:sz w:val="24"/>
          <w:szCs w:val="24"/>
          <w:u w:val="single"/>
        </w:rPr>
        <w:fldChar w:fldCharType="end"/>
      </w:r>
      <w:r>
        <w:rPr>
          <w:rFonts w:asciiTheme="minorHAnsi" w:hAnsiTheme="minorHAnsi" w:cstheme="minorHAnsi"/>
          <w:sz w:val="24"/>
          <w:szCs w:val="24"/>
        </w:rPr>
        <w:t>, constatando que ninguno de los vehículos asignados a su cargo tenga comparendos reportados.</w:t>
      </w:r>
    </w:p>
    <w:p w14:paraId="6BD0EC7B">
      <w:pPr>
        <w:spacing w:line="276" w:lineRule="auto"/>
        <w:rPr>
          <w:rFonts w:asciiTheme="minorHAnsi" w:hAnsiTheme="minorHAnsi" w:cstheme="minorHAnsi"/>
          <w:b/>
          <w:sz w:val="24"/>
          <w:szCs w:val="24"/>
        </w:rPr>
      </w:pPr>
    </w:p>
    <w:p w14:paraId="490D1216">
      <w:pPr>
        <w:numPr>
          <w:ilvl w:val="3"/>
          <w:numId w:val="39"/>
        </w:numPr>
        <w:spacing w:line="276" w:lineRule="auto"/>
        <w:ind w:left="284" w:hanging="284"/>
        <w:rPr>
          <w:rFonts w:asciiTheme="minorHAnsi" w:hAnsiTheme="minorHAnsi" w:cstheme="minorHAnsi"/>
          <w:sz w:val="24"/>
          <w:szCs w:val="24"/>
        </w:rPr>
      </w:pPr>
      <w:r>
        <w:rPr>
          <w:rFonts w:asciiTheme="minorHAnsi" w:hAnsiTheme="minorHAnsi" w:cstheme="minorHAnsi"/>
          <w:sz w:val="24"/>
          <w:szCs w:val="24"/>
        </w:rPr>
        <w:t>En caso de evidenciar un comparendo que se enuncia del punto anterior, se debe seguir el siguiente procedimiento:</w:t>
      </w:r>
    </w:p>
    <w:p w14:paraId="157BA2F2">
      <w:pPr>
        <w:spacing w:line="276" w:lineRule="auto"/>
        <w:rPr>
          <w:rFonts w:asciiTheme="minorHAnsi" w:hAnsiTheme="minorHAnsi" w:cstheme="minorHAnsi"/>
          <w:sz w:val="24"/>
          <w:szCs w:val="24"/>
        </w:rPr>
      </w:pPr>
    </w:p>
    <w:p w14:paraId="4326E64C">
      <w:pPr>
        <w:pStyle w:val="51"/>
        <w:tabs>
          <w:tab w:val="left" w:pos="426"/>
        </w:tabs>
        <w:spacing w:after="200" w:line="276" w:lineRule="auto"/>
        <w:ind w:left="0"/>
        <w:rPr>
          <w:rFonts w:asciiTheme="minorHAnsi" w:hAnsiTheme="minorHAnsi" w:cstheme="minorHAnsi"/>
          <w:sz w:val="24"/>
          <w:szCs w:val="24"/>
        </w:rPr>
      </w:pPr>
      <w:r>
        <w:rPr>
          <w:rFonts w:asciiTheme="minorHAnsi" w:hAnsiTheme="minorHAnsi" w:cstheme="minorHAnsi"/>
          <w:sz w:val="24"/>
          <w:szCs w:val="24"/>
          <w:highlight w:val="magenta"/>
        </w:rPr>
        <w:t>Si se trata de un comparendo impuesto bajo la modalidad de “foto-multa”, por lo que no es posible conocer de forma inmediata la</w:t>
      </w:r>
      <w:r>
        <w:rPr>
          <w:rFonts w:asciiTheme="minorHAnsi" w:hAnsiTheme="minorHAnsi" w:cstheme="minorHAnsi"/>
          <w:sz w:val="24"/>
          <w:szCs w:val="24"/>
        </w:rPr>
        <w:t xml:space="preserve"> identidad de la persona que conduce el vehículo, es necesario que inmediatamente se lleve a cabo lo siguiente:</w:t>
      </w:r>
    </w:p>
    <w:p w14:paraId="465DB6EB">
      <w:pPr>
        <w:numPr>
          <w:ilvl w:val="0"/>
          <w:numId w:val="40"/>
        </w:numPr>
        <w:spacing w:after="200" w:line="276" w:lineRule="auto"/>
        <w:ind w:left="720"/>
        <w:contextualSpacing/>
        <w:rPr>
          <w:rFonts w:eastAsia="Calibri" w:asciiTheme="minorHAnsi" w:hAnsiTheme="minorHAnsi" w:cstheme="minorHAnsi"/>
          <w:sz w:val="24"/>
          <w:szCs w:val="24"/>
        </w:rPr>
      </w:pPr>
      <w:r>
        <w:rPr>
          <w:rFonts w:eastAsia="Calibri" w:asciiTheme="minorHAnsi" w:hAnsiTheme="minorHAnsi" w:cstheme="minorHAnsi"/>
          <w:sz w:val="24"/>
          <w:szCs w:val="24"/>
        </w:rPr>
        <w:t xml:space="preserve">Una vez se tenga conocimiento acerca de la imposición de la multa de tránsito, el Director Regional o Subdirector de Centro, informa por escrito al Organismo de Tránsito, comunicando acerca de la situación que generó la sanción, e indicando el nombre del conductor que cometió la infracción dentro de los diez (10) días posteriores a la recepción de la notificación. </w:t>
      </w:r>
    </w:p>
    <w:p w14:paraId="143F2FE3">
      <w:pPr>
        <w:spacing w:after="200" w:line="276" w:lineRule="auto"/>
        <w:contextualSpacing/>
        <w:rPr>
          <w:rFonts w:eastAsia="Calibri" w:asciiTheme="minorHAnsi" w:hAnsiTheme="minorHAnsi" w:cstheme="minorHAnsi"/>
          <w:sz w:val="24"/>
          <w:szCs w:val="24"/>
        </w:rPr>
      </w:pPr>
    </w:p>
    <w:p w14:paraId="571CDB20">
      <w:pPr>
        <w:numPr>
          <w:ilvl w:val="0"/>
          <w:numId w:val="40"/>
        </w:numPr>
        <w:spacing w:after="200" w:line="276" w:lineRule="auto"/>
        <w:ind w:left="720"/>
        <w:contextualSpacing/>
        <w:rPr>
          <w:rFonts w:eastAsia="Calibri" w:asciiTheme="minorHAnsi" w:hAnsiTheme="minorHAnsi" w:cstheme="minorHAnsi"/>
          <w:sz w:val="24"/>
          <w:szCs w:val="24"/>
        </w:rPr>
      </w:pPr>
      <w:r>
        <w:rPr>
          <w:rFonts w:eastAsia="Calibri" w:asciiTheme="minorHAnsi" w:hAnsiTheme="minorHAnsi" w:cstheme="minorHAnsi"/>
          <w:sz w:val="24"/>
          <w:szCs w:val="24"/>
        </w:rPr>
        <w:t>La comunicación anterior va acompañada por una certificación suscrita por el conductor responsable de la infracción, dirigida al Organismo de Tránsito, en la que manifieste que fue él quien cometió la infracción.</w:t>
      </w:r>
    </w:p>
    <w:p w14:paraId="090F354B">
      <w:pPr>
        <w:spacing w:after="200" w:line="276" w:lineRule="auto"/>
        <w:ind w:left="720"/>
        <w:contextualSpacing/>
        <w:rPr>
          <w:rFonts w:eastAsia="Calibri" w:asciiTheme="minorHAnsi" w:hAnsiTheme="minorHAnsi" w:cstheme="minorHAnsi"/>
          <w:sz w:val="24"/>
          <w:szCs w:val="24"/>
        </w:rPr>
      </w:pPr>
    </w:p>
    <w:p w14:paraId="277C297B">
      <w:pPr>
        <w:numPr>
          <w:ilvl w:val="0"/>
          <w:numId w:val="40"/>
        </w:numPr>
        <w:spacing w:after="200" w:line="276" w:lineRule="auto"/>
        <w:ind w:left="720"/>
        <w:contextualSpacing/>
        <w:rPr>
          <w:rFonts w:eastAsia="Calibri" w:asciiTheme="minorHAnsi" w:hAnsiTheme="minorHAnsi" w:cstheme="minorHAnsi"/>
          <w:sz w:val="24"/>
          <w:szCs w:val="24"/>
        </w:rPr>
      </w:pPr>
      <w:r>
        <w:rPr>
          <w:rFonts w:eastAsia="Calibri" w:asciiTheme="minorHAnsi" w:hAnsiTheme="minorHAnsi" w:cstheme="minorHAnsi"/>
          <w:sz w:val="24"/>
          <w:szCs w:val="24"/>
        </w:rPr>
        <w:t>Con las anteriores comunicaciones, y acogiendo lo señalado en el artículo 129 del Código Nacional de Tránsito, se solicita el cambio inmediato del titular del comparendo y su actualización en el SIMIT, en los términos señalados en el artículo 137 del Código Nacional de Tránsito.</w:t>
      </w:r>
    </w:p>
    <w:p w14:paraId="6150261A">
      <w:pPr>
        <w:spacing w:after="200" w:line="276" w:lineRule="auto"/>
        <w:contextualSpacing/>
        <w:rPr>
          <w:rFonts w:eastAsia="Calibri" w:asciiTheme="minorHAnsi" w:hAnsiTheme="minorHAnsi" w:cstheme="minorHAnsi"/>
          <w:sz w:val="24"/>
          <w:szCs w:val="24"/>
        </w:rPr>
      </w:pPr>
    </w:p>
    <w:p w14:paraId="5AD2AC27">
      <w:pPr>
        <w:numPr>
          <w:ilvl w:val="3"/>
          <w:numId w:val="39"/>
        </w:numPr>
        <w:spacing w:line="276" w:lineRule="auto"/>
        <w:ind w:left="284" w:hanging="284"/>
        <w:rPr>
          <w:rFonts w:asciiTheme="minorHAnsi" w:hAnsiTheme="minorHAnsi" w:cstheme="minorHAnsi"/>
          <w:sz w:val="24"/>
          <w:szCs w:val="24"/>
        </w:rPr>
      </w:pPr>
      <w:r>
        <w:rPr>
          <w:rFonts w:asciiTheme="minorHAnsi" w:hAnsiTheme="minorHAnsi" w:cstheme="minorHAnsi"/>
          <w:sz w:val="24"/>
          <w:szCs w:val="24"/>
        </w:rPr>
        <w:t>En el caso en el que el comparendo no haya sido impuesto bajo la modalidad de “foto multa”  o haya sobrepasado los diez (10) días posteriores a la recepción de la notificación, se debe realizar de manera inmediata el pago del mismo o gestiones pertinentes para el descargue del mismo en el SIMIT.</w:t>
      </w:r>
    </w:p>
    <w:p w14:paraId="5F2345E8">
      <w:pPr>
        <w:spacing w:line="276" w:lineRule="auto"/>
        <w:rPr>
          <w:rFonts w:asciiTheme="minorHAnsi" w:hAnsiTheme="minorHAnsi" w:cstheme="minorHAnsi"/>
          <w:sz w:val="24"/>
          <w:szCs w:val="24"/>
        </w:rPr>
      </w:pPr>
    </w:p>
    <w:p w14:paraId="673DCB24">
      <w:pPr>
        <w:spacing w:line="276" w:lineRule="auto"/>
        <w:rPr>
          <w:rFonts w:asciiTheme="minorHAnsi" w:hAnsiTheme="minorHAnsi" w:cstheme="minorHAnsi"/>
          <w:sz w:val="24"/>
          <w:szCs w:val="24"/>
        </w:rPr>
      </w:pPr>
      <w:r>
        <w:rPr>
          <w:rFonts w:asciiTheme="minorHAnsi" w:hAnsiTheme="minorHAnsi" w:cstheme="minorHAnsi"/>
          <w:sz w:val="24"/>
          <w:szCs w:val="24"/>
        </w:rPr>
        <w:t>Una vez efectuado el pago del comparendo cargado a nombre el SENA en el SIMIT, se debe remitir el soporte de pago al Grupo de Servicios Generales y Adquisiciones, y monitorear durante las semanas siguientes el descargue de la plataforma web del mismo.</w:t>
      </w:r>
    </w:p>
    <w:p w14:paraId="48A71991">
      <w:pPr>
        <w:spacing w:line="276" w:lineRule="auto"/>
        <w:rPr>
          <w:rFonts w:asciiTheme="minorHAnsi" w:hAnsiTheme="minorHAnsi" w:cstheme="minorHAnsi"/>
          <w:sz w:val="24"/>
          <w:szCs w:val="24"/>
        </w:rPr>
      </w:pPr>
    </w:p>
    <w:p w14:paraId="4D8CA252">
      <w:pPr>
        <w:spacing w:line="276" w:lineRule="auto"/>
        <w:rPr>
          <w:rFonts w:asciiTheme="minorHAnsi" w:hAnsiTheme="minorHAnsi" w:cstheme="minorHAnsi"/>
          <w:sz w:val="24"/>
          <w:szCs w:val="24"/>
        </w:rPr>
      </w:pPr>
      <w:r>
        <w:rPr>
          <w:rFonts w:asciiTheme="minorHAnsi" w:hAnsiTheme="minorHAnsi" w:cstheme="minorHAnsi"/>
          <w:sz w:val="24"/>
          <w:szCs w:val="24"/>
        </w:rPr>
        <w:t>El Grupo de Servicios Generales y Adquisiciones GSGYA, dentro de la revisión periódica que efectúa a la página del SIMIT, remite mediante un comunicado interno C.I por RADICAR a los Directores Regionales o Subdirectores de Centro responsables de vehículos, la solicitud de pago y las gestiones pertinentes para el descargue de los comparendos reportados al SIMIT, estableciendo como termino máximo para el pago o gestión respectiva cinco (5) días hábiles, so pena de la potestad de iniciar de iniciar el trámite para el traslado a la Oficina de Control Interno Disciplinario.</w:t>
      </w:r>
    </w:p>
    <w:p w14:paraId="273C0B0B">
      <w:pPr>
        <w:spacing w:line="276" w:lineRule="auto"/>
        <w:rPr>
          <w:rFonts w:asciiTheme="minorHAnsi" w:hAnsiTheme="minorHAnsi" w:cstheme="minorHAnsi"/>
          <w:sz w:val="24"/>
          <w:szCs w:val="24"/>
        </w:rPr>
      </w:pPr>
    </w:p>
    <w:p w14:paraId="45806403">
      <w:pPr>
        <w:spacing w:line="276" w:lineRule="auto"/>
        <w:rPr>
          <w:rFonts w:asciiTheme="minorHAnsi" w:hAnsiTheme="minorHAnsi" w:cstheme="minorHAnsi"/>
          <w:sz w:val="24"/>
          <w:szCs w:val="24"/>
        </w:rPr>
      </w:pPr>
      <w:r>
        <w:rPr>
          <w:rFonts w:asciiTheme="minorHAnsi" w:hAnsiTheme="minorHAnsi" w:cstheme="minorHAnsi"/>
          <w:sz w:val="24"/>
          <w:szCs w:val="24"/>
        </w:rPr>
        <w:t xml:space="preserve">En el evento en el que GSGYA evidencie un comparendo cargado en la página del  SIMIT con </w:t>
      </w:r>
      <w:r>
        <w:rPr>
          <w:rFonts w:asciiTheme="minorHAnsi" w:hAnsiTheme="minorHAnsi" w:cstheme="minorHAnsi"/>
          <w:sz w:val="24"/>
          <w:szCs w:val="24"/>
          <w:u w:val="single"/>
        </w:rPr>
        <w:t>Resolución</w:t>
      </w:r>
      <w:r>
        <w:rPr>
          <w:rFonts w:asciiTheme="minorHAnsi" w:hAnsiTheme="minorHAnsi" w:cstheme="minorHAnsi"/>
          <w:sz w:val="24"/>
          <w:szCs w:val="24"/>
        </w:rPr>
        <w:t xml:space="preserve"> de orden de pago emitido por algún Organismo de tránsito y transporte a nivel nacional, como se observa en la figura No. 8, procede a remitir un comunicado interno C.I por RADICAR al Director Regional o Subdirector de Centro respectivo,  reiterando el pago del comparendo de manera inmediata, e informando el inicio traslado de la situación a la Oficina de Control Interno Disciplinario.</w:t>
      </w:r>
    </w:p>
    <w:p w14:paraId="698997B6">
      <w:pPr>
        <w:spacing w:line="276" w:lineRule="auto"/>
        <w:rPr>
          <w:rFonts w:asciiTheme="minorHAnsi" w:hAnsiTheme="minorHAnsi" w:cstheme="minorHAnsi"/>
          <w:b/>
          <w:sz w:val="24"/>
          <w:szCs w:val="24"/>
          <w:u w:val="single"/>
        </w:rPr>
      </w:pPr>
    </w:p>
    <w:p w14:paraId="5E8E0C0A">
      <w:pPr>
        <w:spacing w:line="276" w:lineRule="auto"/>
        <w:rPr>
          <w:rFonts w:asciiTheme="minorHAnsi" w:hAnsiTheme="minorHAnsi" w:cstheme="minorHAnsi"/>
          <w:sz w:val="24"/>
          <w:szCs w:val="24"/>
        </w:rPr>
      </w:pPr>
      <w:r>
        <w:rPr>
          <w:rFonts w:asciiTheme="minorHAnsi" w:hAnsiTheme="minorHAnsi" w:cstheme="minorHAnsi"/>
          <w:b/>
          <w:sz w:val="24"/>
          <w:szCs w:val="24"/>
          <w:u w:val="single"/>
        </w:rPr>
        <w:t>Nota</w:t>
      </w:r>
      <w:r>
        <w:rPr>
          <w:rFonts w:asciiTheme="minorHAnsi" w:hAnsiTheme="minorHAnsi" w:cstheme="minorHAnsi"/>
          <w:sz w:val="24"/>
          <w:szCs w:val="24"/>
          <w:u w:val="single"/>
        </w:rPr>
        <w:t>:</w:t>
      </w:r>
      <w:r>
        <w:rPr>
          <w:rFonts w:asciiTheme="minorHAnsi" w:hAnsiTheme="minorHAnsi" w:cstheme="minorHAnsi"/>
          <w:sz w:val="24"/>
          <w:szCs w:val="24"/>
        </w:rPr>
        <w:t xml:space="preserve"> Los comparendos cargados con resolución en la página del SIMIT pueden generar bloqueos de cualquier tipo en cualquiera de los trámites que adelante el SENA ante los organismos de tránsito y transporte a nivel nacional, ocasionando con ello serios problemas en procesos de matrícula, traspasos y/o compraventa de los vehículos, colocando en un alto riesgo legal y financiero a la Entidad.</w:t>
      </w:r>
    </w:p>
    <w:p w14:paraId="0A70BD31">
      <w:pPr>
        <w:spacing w:line="276" w:lineRule="auto"/>
        <w:rPr>
          <w:rFonts w:asciiTheme="minorHAnsi" w:hAnsiTheme="minorHAnsi" w:cstheme="minorHAnsi"/>
          <w:sz w:val="24"/>
          <w:szCs w:val="24"/>
        </w:rPr>
      </w:pPr>
    </w:p>
    <w:p w14:paraId="2216C74F">
      <w:pPr>
        <w:spacing w:line="276" w:lineRule="auto"/>
        <w:rPr>
          <w:rFonts w:asciiTheme="minorHAnsi" w:hAnsiTheme="minorHAnsi" w:cstheme="minorHAnsi"/>
          <w:sz w:val="24"/>
          <w:szCs w:val="24"/>
        </w:rPr>
      </w:pPr>
      <w:r>
        <w:rPr>
          <w:rFonts w:asciiTheme="minorHAnsi" w:hAnsiTheme="minorHAnsi" w:cstheme="minorHAnsi"/>
          <w:sz w:val="24"/>
          <w:szCs w:val="24"/>
        </w:rPr>
        <w:t>Así mismo se enfatiza en que a partir de la fecha y una vez remitido por el GSGYA el comunicado interno C.I por RADICAR, en donde se solicita el pago del comparendo respectivo, las Direcciones Regionales y Centro de formación responsables del pago, tienen un máximo de cinco (5) días hábiles para reportar al GSGYA el soporte de pago o para que se evidencie el descargue del mismo en la página del SIMIT, de lo contario, se iniciara el trámite para el traslado a la Oficina de Control Interno Disciplinario.</w:t>
      </w:r>
    </w:p>
    <w:p w14:paraId="5EE8F89D">
      <w:pPr>
        <w:spacing w:line="276" w:lineRule="auto"/>
        <w:rPr>
          <w:rFonts w:asciiTheme="minorHAnsi" w:hAnsiTheme="minorHAnsi" w:cstheme="minorHAnsi"/>
          <w:sz w:val="24"/>
          <w:szCs w:val="24"/>
        </w:rPr>
      </w:pPr>
    </w:p>
    <w:p w14:paraId="2A9693DA">
      <w:pPr>
        <w:autoSpaceDE w:val="0"/>
        <w:autoSpaceDN w:val="0"/>
        <w:adjustRightInd w:val="0"/>
        <w:spacing w:line="276" w:lineRule="auto"/>
        <w:rPr>
          <w:rFonts w:asciiTheme="minorHAnsi" w:hAnsiTheme="minorHAnsi" w:cstheme="minorHAnsi"/>
          <w:b/>
          <w:color w:val="000000"/>
          <w:sz w:val="24"/>
          <w:szCs w:val="24"/>
        </w:rPr>
      </w:pPr>
      <w:r>
        <w:rPr>
          <w:rFonts w:asciiTheme="minorHAnsi" w:hAnsiTheme="minorHAnsi" w:cstheme="minorHAnsi"/>
          <w:color w:val="000000"/>
          <w:sz w:val="24"/>
          <w:szCs w:val="24"/>
        </w:rPr>
        <w:t>Por último, se debe verificar en todas las bases de datos dispuestas por los Organismos de Tránsito para la consulta de las Infracciones y/o Multas en Bogotá, como el SIMIT y el SIMUR, generando consultas por NIT de la Entidad, por vehículo y por conductor de forma periódica y registrando dicha Información en el aplicativo CRM con el fin de llevar la trazabilidad respectiva, generar los reportes e indicadores con los cuales se tomen medidas preventivas y correctivas al respecto. Es importante tener en cuenta los factores externos que afecten a la Entidad como los cambios o decisiones a nivel normativo que puedan dejar sin vigencia los controles implementados</w:t>
      </w:r>
      <w:r>
        <w:rPr>
          <w:rFonts w:asciiTheme="minorHAnsi" w:hAnsiTheme="minorHAnsi" w:cstheme="minorHAnsi"/>
          <w:b/>
          <w:color w:val="000000"/>
          <w:sz w:val="24"/>
          <w:szCs w:val="24"/>
        </w:rPr>
        <w:t>.</w:t>
      </w:r>
    </w:p>
    <w:p w14:paraId="6DB2CC7D">
      <w:pPr>
        <w:spacing w:line="276" w:lineRule="auto"/>
        <w:rPr>
          <w:rFonts w:asciiTheme="minorHAnsi" w:hAnsiTheme="minorHAnsi" w:cstheme="minorHAnsi"/>
          <w:sz w:val="24"/>
          <w:szCs w:val="24"/>
        </w:rPr>
      </w:pPr>
      <w:r>
        <w:rPr>
          <w:rFonts w:asciiTheme="minorHAnsi" w:hAnsiTheme="minorHAnsi" w:cstheme="minorHAnsi"/>
          <w:sz w:val="24"/>
          <w:szCs w:val="24"/>
        </w:rPr>
        <w:t>Es responsabilidad de cada Despacho Regional, Centros, Sedes y Subsedes de Formación mantener la información actualizada en el aplicativo CRM en cuanto a los comparendos e infracciones de los vehículos propios y de las personas autorizadas para utilizar vehículos propios del SENA, no podrá autorizarse a personas que tengan comparendos pendientes o que no hayan finalizado los trámites de comparendos, esto como medida de control de los riesgos.</w:t>
      </w:r>
    </w:p>
    <w:p w14:paraId="296B108E">
      <w:pPr>
        <w:spacing w:line="276" w:lineRule="auto"/>
        <w:rPr>
          <w:rFonts w:asciiTheme="minorHAnsi" w:hAnsiTheme="minorHAnsi" w:cstheme="minorHAnsi"/>
          <w:bCs/>
          <w:sz w:val="24"/>
          <w:szCs w:val="24"/>
        </w:rPr>
      </w:pPr>
      <w:commentRangeStart w:id="18"/>
      <w:r>
        <w:rPr>
          <w:rFonts w:asciiTheme="minorHAnsi" w:hAnsiTheme="minorHAnsi" w:cstheme="minorHAnsi"/>
          <w:bCs/>
          <w:sz w:val="24"/>
          <w:szCs w:val="24"/>
          <w:highlight w:val="yellow"/>
        </w:rPr>
        <w:t>Se esta realizando validación de infracciones de tránsito de colaboradores que conducen al SENA, diferentes a los que operan vehículos propios.</w:t>
      </w:r>
      <w:commentRangeEnd w:id="18"/>
      <w:r>
        <w:rPr>
          <w:rStyle w:val="13"/>
          <w:rFonts w:eastAsia="Calibri" w:cs="Times New Roman"/>
          <w:lang w:eastAsia="en-US"/>
        </w:rPr>
        <w:commentReference w:id="18"/>
      </w:r>
    </w:p>
    <w:p w14:paraId="7286F150">
      <w:pPr>
        <w:spacing w:line="276" w:lineRule="auto"/>
        <w:rPr>
          <w:rFonts w:asciiTheme="minorHAnsi" w:hAnsiTheme="minorHAnsi" w:cstheme="minorHAnsi"/>
          <w:bCs/>
          <w:sz w:val="24"/>
          <w:szCs w:val="24"/>
        </w:rPr>
      </w:pPr>
    </w:p>
    <w:p w14:paraId="00ADD023">
      <w:pPr>
        <w:pStyle w:val="4"/>
        <w:numPr>
          <w:ilvl w:val="2"/>
          <w:numId w:val="33"/>
        </w:numPr>
        <w:spacing w:before="0"/>
        <w:rPr>
          <w:rFonts w:asciiTheme="minorHAnsi" w:hAnsiTheme="minorHAnsi" w:cstheme="minorHAnsi"/>
          <w:sz w:val="24"/>
          <w:szCs w:val="24"/>
        </w:rPr>
      </w:pPr>
      <w:bookmarkStart w:id="120" w:name="_Toc188966802"/>
      <w:r>
        <w:rPr>
          <w:rFonts w:asciiTheme="minorHAnsi" w:hAnsiTheme="minorHAnsi" w:cstheme="minorHAnsi"/>
          <w:sz w:val="24"/>
          <w:szCs w:val="24"/>
        </w:rPr>
        <w:t>EVALUACIÓN DE COMPORTAMIENTO RELACIONADO CON LA SEGURIDAD VIAL</w:t>
      </w:r>
      <w:bookmarkEnd w:id="120"/>
    </w:p>
    <w:p w14:paraId="7B30D4F5">
      <w:pPr>
        <w:rPr>
          <w:lang w:eastAsia="es-CO"/>
        </w:rPr>
      </w:pPr>
    </w:p>
    <w:p w14:paraId="4052AD2E">
      <w:pPr>
        <w:rPr>
          <w:rFonts w:asciiTheme="minorHAnsi" w:hAnsiTheme="minorHAnsi" w:cstheme="minorHAnsi"/>
          <w:sz w:val="24"/>
          <w:szCs w:val="24"/>
        </w:rPr>
      </w:pPr>
      <w:r>
        <w:rPr>
          <w:rFonts w:asciiTheme="minorHAnsi" w:hAnsiTheme="minorHAnsi" w:cstheme="minorHAnsi"/>
          <w:sz w:val="24"/>
          <w:szCs w:val="24"/>
        </w:rPr>
        <w:t xml:space="preserve">El SENA evalúa el comportamiento de los colaboradores relacionado con la seguridad vial, la cual es realizada por lo menos una (1) vez al año, dicha evaluación incluye las funciones y responsabilidades asignadas, las cuales incluyen: </w:t>
      </w:r>
    </w:p>
    <w:p w14:paraId="49401B6F">
      <w:pPr>
        <w:rPr>
          <w:rFonts w:asciiTheme="minorHAnsi" w:hAnsiTheme="minorHAnsi" w:cstheme="minorHAnsi"/>
          <w:sz w:val="24"/>
          <w:szCs w:val="24"/>
        </w:rPr>
      </w:pPr>
    </w:p>
    <w:p w14:paraId="3ECA92E8">
      <w:pPr>
        <w:pStyle w:val="51"/>
        <w:numPr>
          <w:ilvl w:val="0"/>
          <w:numId w:val="41"/>
        </w:numPr>
        <w:rPr>
          <w:rFonts w:eastAsia="Times New Roman" w:asciiTheme="minorHAnsi" w:hAnsiTheme="minorHAnsi" w:cstheme="minorHAnsi"/>
          <w:sz w:val="24"/>
          <w:szCs w:val="24"/>
          <w:lang w:eastAsia="es-ES"/>
        </w:rPr>
      </w:pPr>
      <w:r>
        <w:rPr>
          <w:rFonts w:eastAsia="Times New Roman" w:asciiTheme="minorHAnsi" w:hAnsiTheme="minorHAnsi" w:cstheme="minorHAnsi"/>
          <w:sz w:val="24"/>
          <w:szCs w:val="24"/>
          <w:lang w:eastAsia="es-ES"/>
        </w:rPr>
        <w:t xml:space="preserve">Siniestros viales en el periodo evaluado en los que se han visto involucrados colaboradores de la organización. </w:t>
      </w:r>
    </w:p>
    <w:p w14:paraId="7C7295E9">
      <w:pPr>
        <w:pStyle w:val="51"/>
        <w:numPr>
          <w:ilvl w:val="0"/>
          <w:numId w:val="41"/>
        </w:numPr>
        <w:rPr>
          <w:rFonts w:eastAsia="Times New Roman" w:asciiTheme="minorHAnsi" w:hAnsiTheme="minorHAnsi" w:cstheme="minorHAnsi"/>
          <w:sz w:val="24"/>
          <w:szCs w:val="24"/>
          <w:lang w:eastAsia="es-ES"/>
        </w:rPr>
      </w:pPr>
      <w:r>
        <w:rPr>
          <w:rFonts w:eastAsia="Times New Roman" w:asciiTheme="minorHAnsi" w:hAnsiTheme="minorHAnsi" w:cstheme="minorHAnsi"/>
          <w:sz w:val="24"/>
          <w:szCs w:val="24"/>
          <w:lang w:eastAsia="es-ES"/>
        </w:rPr>
        <w:t xml:space="preserve">Infracciones de tránsito cometidas en el periodo evaluado por los colaboradores de la organización. </w:t>
      </w:r>
    </w:p>
    <w:p w14:paraId="52EDFE5C">
      <w:pPr>
        <w:pStyle w:val="51"/>
        <w:numPr>
          <w:ilvl w:val="0"/>
          <w:numId w:val="41"/>
        </w:numPr>
        <w:rPr>
          <w:rFonts w:eastAsia="Times New Roman" w:asciiTheme="minorHAnsi" w:hAnsiTheme="minorHAnsi" w:cstheme="minorHAnsi"/>
          <w:sz w:val="24"/>
          <w:szCs w:val="24"/>
          <w:lang w:eastAsia="es-ES"/>
        </w:rPr>
      </w:pPr>
      <w:r>
        <w:rPr>
          <w:rFonts w:eastAsia="Times New Roman" w:asciiTheme="minorHAnsi" w:hAnsiTheme="minorHAnsi" w:cstheme="minorHAnsi"/>
          <w:sz w:val="24"/>
          <w:szCs w:val="24"/>
          <w:lang w:eastAsia="es-ES"/>
        </w:rPr>
        <w:t xml:space="preserve">Quejas durante el periodo evaluado relacionadas con comportamientos de los colaboradores que pongan en riesgo su seguridad vial y/o la de los demás miembros de la comunidad de la organización y/o la de otros actores viales. </w:t>
      </w:r>
    </w:p>
    <w:p w14:paraId="0F43ECDC">
      <w:pPr>
        <w:pStyle w:val="51"/>
        <w:numPr>
          <w:ilvl w:val="0"/>
          <w:numId w:val="41"/>
        </w:numPr>
        <w:rPr>
          <w:rFonts w:eastAsia="Times New Roman" w:asciiTheme="minorHAnsi" w:hAnsiTheme="minorHAnsi" w:cstheme="minorHAnsi"/>
          <w:sz w:val="24"/>
          <w:szCs w:val="24"/>
          <w:lang w:eastAsia="es-ES"/>
        </w:rPr>
      </w:pPr>
      <w:r>
        <w:rPr>
          <w:rFonts w:eastAsia="Times New Roman" w:asciiTheme="minorHAnsi" w:hAnsiTheme="minorHAnsi" w:cstheme="minorHAnsi"/>
          <w:sz w:val="24"/>
          <w:szCs w:val="24"/>
          <w:lang w:eastAsia="es-ES"/>
        </w:rPr>
        <w:t xml:space="preserve">Capacitaciones recibidas por los colaboradores en el periodo evaluado. </w:t>
      </w:r>
    </w:p>
    <w:p w14:paraId="3BE27ACE">
      <w:pPr>
        <w:rPr>
          <w:rFonts w:asciiTheme="minorHAnsi" w:hAnsiTheme="minorHAnsi" w:cstheme="minorHAnsi"/>
          <w:sz w:val="24"/>
          <w:szCs w:val="24"/>
        </w:rPr>
      </w:pPr>
      <w:r>
        <w:rPr>
          <w:rFonts w:asciiTheme="minorHAnsi" w:hAnsiTheme="minorHAnsi" w:cstheme="minorHAnsi"/>
          <w:sz w:val="24"/>
          <w:szCs w:val="24"/>
        </w:rPr>
        <w:t xml:space="preserve">Basados en los resultados de la evaluación de comportamientos, la organización debe identificar necesidades de refuerzos a través del programa de formación en seguridad vial. </w:t>
      </w:r>
    </w:p>
    <w:p w14:paraId="4CC18DAD">
      <w:pPr>
        <w:rPr>
          <w:lang w:eastAsia="es-CO"/>
        </w:rPr>
      </w:pPr>
    </w:p>
    <w:p w14:paraId="169AAA23">
      <w:pPr>
        <w:rPr>
          <w:lang w:eastAsia="es-CO"/>
        </w:rPr>
      </w:pPr>
    </w:p>
    <w:p w14:paraId="647E9913">
      <w:pPr>
        <w:pStyle w:val="4"/>
        <w:numPr>
          <w:ilvl w:val="2"/>
          <w:numId w:val="33"/>
        </w:numPr>
        <w:spacing w:before="0"/>
        <w:rPr>
          <w:rFonts w:asciiTheme="minorHAnsi" w:hAnsiTheme="minorHAnsi" w:cstheme="minorHAnsi"/>
          <w:sz w:val="24"/>
          <w:szCs w:val="24"/>
        </w:rPr>
      </w:pPr>
      <w:bookmarkStart w:id="121" w:name="_Toc188966803"/>
      <w:r>
        <w:rPr>
          <w:rFonts w:asciiTheme="minorHAnsi" w:hAnsiTheme="minorHAnsi" w:cstheme="minorHAnsi"/>
          <w:sz w:val="24"/>
          <w:szCs w:val="24"/>
        </w:rPr>
        <w:t>ESTRATEGIA PARA PROMOVER LA FORMACIÓN DE HABITOS, COMPORTAMIENTOS Y CONDUCTAS SEGURAS EN LA VIA</w:t>
      </w:r>
      <w:bookmarkEnd w:id="121"/>
    </w:p>
    <w:p w14:paraId="248A0489">
      <w:pPr>
        <w:spacing w:line="276" w:lineRule="auto"/>
        <w:rPr>
          <w:rFonts w:asciiTheme="minorHAnsi" w:hAnsiTheme="minorHAnsi" w:cstheme="minorHAnsi"/>
          <w:bCs/>
          <w:sz w:val="24"/>
          <w:szCs w:val="24"/>
        </w:rPr>
      </w:pPr>
    </w:p>
    <w:p w14:paraId="18D055CE">
      <w:pPr>
        <w:rPr>
          <w:rFonts w:asciiTheme="minorHAnsi" w:hAnsiTheme="minorHAnsi" w:cstheme="minorHAnsi"/>
          <w:sz w:val="24"/>
          <w:szCs w:val="24"/>
        </w:rPr>
      </w:pPr>
      <w:r>
        <w:rPr>
          <w:rFonts w:asciiTheme="minorHAnsi" w:hAnsiTheme="minorHAnsi" w:cstheme="minorHAnsi"/>
          <w:sz w:val="24"/>
          <w:szCs w:val="24"/>
        </w:rPr>
        <w:t xml:space="preserve">El SENA establece una estrategia para promover la formación de hábitos y comportamientos seguros en la vía, que da alcance a todos los colaboradores de la organización y que permite generar comportamientos interdependientes, la cual puede incluir: </w:t>
      </w:r>
    </w:p>
    <w:p w14:paraId="0B787EEE">
      <w:pPr>
        <w:rPr>
          <w:rFonts w:asciiTheme="minorHAnsi" w:hAnsiTheme="minorHAnsi" w:cstheme="minorHAnsi"/>
          <w:sz w:val="24"/>
          <w:szCs w:val="24"/>
        </w:rPr>
      </w:pPr>
    </w:p>
    <w:p w14:paraId="28AA21B1">
      <w:pPr>
        <w:pStyle w:val="51"/>
        <w:numPr>
          <w:ilvl w:val="0"/>
          <w:numId w:val="42"/>
        </w:numPr>
        <w:ind w:left="567"/>
        <w:rPr>
          <w:rFonts w:eastAsia="Times New Roman" w:asciiTheme="minorHAnsi" w:hAnsiTheme="minorHAnsi" w:cstheme="minorHAnsi"/>
          <w:sz w:val="24"/>
          <w:szCs w:val="24"/>
          <w:lang w:eastAsia="es-ES"/>
        </w:rPr>
      </w:pPr>
      <w:r>
        <w:rPr>
          <w:rFonts w:eastAsia="Times New Roman" w:asciiTheme="minorHAnsi" w:hAnsiTheme="minorHAnsi" w:cstheme="minorHAnsi"/>
          <w:sz w:val="24"/>
          <w:szCs w:val="24"/>
          <w:lang w:eastAsia="es-ES"/>
        </w:rPr>
        <w:t>Definición y evaluación de la competencia en seguridad vial</w:t>
      </w:r>
    </w:p>
    <w:p w14:paraId="21DB43BE">
      <w:pPr>
        <w:pStyle w:val="51"/>
        <w:numPr>
          <w:ilvl w:val="0"/>
          <w:numId w:val="42"/>
        </w:numPr>
        <w:ind w:left="567"/>
        <w:rPr>
          <w:rFonts w:eastAsia="Times New Roman" w:asciiTheme="minorHAnsi" w:hAnsiTheme="minorHAnsi" w:cstheme="minorHAnsi"/>
          <w:sz w:val="24"/>
          <w:szCs w:val="24"/>
          <w:lang w:eastAsia="es-ES"/>
        </w:rPr>
      </w:pPr>
      <w:r>
        <w:rPr>
          <w:rFonts w:eastAsia="Times New Roman" w:asciiTheme="minorHAnsi" w:hAnsiTheme="minorHAnsi" w:cstheme="minorHAnsi"/>
          <w:sz w:val="24"/>
          <w:szCs w:val="24"/>
          <w:lang w:eastAsia="es-ES"/>
        </w:rPr>
        <w:t>Identificación de brechas del conocimiento en seguridad vial</w:t>
      </w:r>
    </w:p>
    <w:p w14:paraId="73C28B97">
      <w:pPr>
        <w:pStyle w:val="51"/>
        <w:numPr>
          <w:ilvl w:val="0"/>
          <w:numId w:val="42"/>
        </w:numPr>
        <w:ind w:left="567"/>
        <w:rPr>
          <w:rFonts w:eastAsia="Times New Roman" w:asciiTheme="minorHAnsi" w:hAnsiTheme="minorHAnsi" w:cstheme="minorHAnsi"/>
          <w:sz w:val="24"/>
          <w:szCs w:val="24"/>
          <w:lang w:eastAsia="es-ES"/>
        </w:rPr>
      </w:pPr>
      <w:r>
        <w:rPr>
          <w:rFonts w:eastAsia="Times New Roman" w:asciiTheme="minorHAnsi" w:hAnsiTheme="minorHAnsi" w:cstheme="minorHAnsi"/>
          <w:sz w:val="24"/>
          <w:szCs w:val="24"/>
          <w:lang w:eastAsia="es-ES"/>
        </w:rPr>
        <w:t>Programas de motivación para incentivar comportamientos interdependientes</w:t>
      </w:r>
    </w:p>
    <w:p w14:paraId="09720935">
      <w:pPr>
        <w:pStyle w:val="51"/>
        <w:numPr>
          <w:ilvl w:val="0"/>
          <w:numId w:val="42"/>
        </w:numPr>
        <w:ind w:left="567"/>
        <w:rPr>
          <w:rFonts w:eastAsia="Times New Roman" w:asciiTheme="minorHAnsi" w:hAnsiTheme="minorHAnsi" w:cstheme="minorHAnsi"/>
          <w:sz w:val="24"/>
          <w:szCs w:val="24"/>
          <w:lang w:eastAsia="es-ES"/>
        </w:rPr>
      </w:pPr>
      <w:r>
        <w:rPr>
          <w:rFonts w:eastAsia="Times New Roman" w:asciiTheme="minorHAnsi" w:hAnsiTheme="minorHAnsi" w:cstheme="minorHAnsi"/>
          <w:sz w:val="24"/>
          <w:szCs w:val="24"/>
          <w:lang w:eastAsia="es-ES"/>
        </w:rPr>
        <w:t>Definición de campañas para lograr comportamientos interdependientes</w:t>
      </w:r>
    </w:p>
    <w:p w14:paraId="76D7F8B6">
      <w:pPr>
        <w:pStyle w:val="51"/>
        <w:numPr>
          <w:ilvl w:val="0"/>
          <w:numId w:val="42"/>
        </w:numPr>
        <w:ind w:left="567"/>
        <w:rPr>
          <w:rFonts w:eastAsia="Times New Roman" w:asciiTheme="minorHAnsi" w:hAnsiTheme="minorHAnsi" w:cstheme="minorHAnsi"/>
          <w:sz w:val="24"/>
          <w:szCs w:val="24"/>
          <w:lang w:eastAsia="es-ES"/>
        </w:rPr>
      </w:pPr>
      <w:r>
        <w:rPr>
          <w:rFonts w:eastAsia="Times New Roman" w:asciiTheme="minorHAnsi" w:hAnsiTheme="minorHAnsi" w:cstheme="minorHAnsi"/>
          <w:sz w:val="24"/>
          <w:szCs w:val="24"/>
          <w:lang w:eastAsia="es-ES"/>
        </w:rPr>
        <w:t xml:space="preserve">Establecimiento de mecanismos de seguimiento a comportamientos </w:t>
      </w:r>
    </w:p>
    <w:p w14:paraId="60171DB6">
      <w:pPr>
        <w:spacing w:line="276" w:lineRule="auto"/>
        <w:rPr>
          <w:rFonts w:asciiTheme="minorHAnsi" w:hAnsiTheme="minorHAnsi" w:cstheme="minorHAnsi"/>
          <w:bCs/>
          <w:sz w:val="24"/>
          <w:szCs w:val="24"/>
        </w:rPr>
      </w:pPr>
    </w:p>
    <w:p w14:paraId="0BFD25B0">
      <w:pPr>
        <w:pStyle w:val="3"/>
        <w:numPr>
          <w:ilvl w:val="1"/>
          <w:numId w:val="4"/>
        </w:numPr>
        <w:spacing w:after="0" w:line="276" w:lineRule="auto"/>
        <w:ind w:left="540" w:hanging="540"/>
        <w:rPr>
          <w:rFonts w:asciiTheme="minorHAnsi" w:hAnsiTheme="minorHAnsi" w:cstheme="minorHAnsi"/>
          <w:color w:val="auto"/>
          <w:sz w:val="24"/>
        </w:rPr>
      </w:pPr>
      <w:bookmarkStart w:id="122" w:name="_Toc188966804"/>
      <w:r>
        <w:rPr>
          <w:rFonts w:asciiTheme="minorHAnsi" w:hAnsiTheme="minorHAnsi" w:cstheme="minorHAnsi"/>
          <w:color w:val="auto"/>
          <w:sz w:val="24"/>
        </w:rPr>
        <w:t>PLAN DE PREPARACIÓN Y RESPUESTA ANTE EMERGENCIAS VIALES</w:t>
      </w:r>
      <w:bookmarkEnd w:id="122"/>
    </w:p>
    <w:p w14:paraId="191D87EA">
      <w:pPr>
        <w:suppressAutoHyphens/>
        <w:spacing w:line="276" w:lineRule="auto"/>
        <w:rPr>
          <w:rFonts w:eastAsia="Calibri" w:asciiTheme="minorHAnsi" w:hAnsiTheme="minorHAnsi" w:cstheme="minorHAnsi"/>
          <w:kern w:val="2"/>
          <w:sz w:val="24"/>
          <w:szCs w:val="24"/>
          <w:lang w:val="es-VE" w:eastAsia="en-US"/>
        </w:rPr>
      </w:pPr>
      <w:r>
        <w:rPr>
          <w:rFonts w:asciiTheme="minorHAnsi" w:hAnsiTheme="minorHAnsi" w:cstheme="minorHAnsi"/>
          <w:kern w:val="2"/>
          <w:sz w:val="24"/>
          <w:szCs w:val="24"/>
          <w:lang w:val="es-VE"/>
        </w:rPr>
        <w:t>El SENA</w:t>
      </w:r>
      <w:r>
        <w:rPr>
          <w:rFonts w:asciiTheme="minorHAnsi" w:hAnsiTheme="minorHAnsi" w:cstheme="minorHAnsi"/>
          <w:kern w:val="2"/>
          <w:sz w:val="24"/>
          <w:szCs w:val="24"/>
        </w:rPr>
        <w:t xml:space="preserve"> cuenta con un plan de preparación y respuesta ante emergencias viales y análisis de vulnerabilidad vial, para cada Centro, Sede y Sub sede de formación, en </w:t>
      </w:r>
      <w:commentRangeStart w:id="19"/>
      <w:r>
        <w:rPr>
          <w:rFonts w:asciiTheme="minorHAnsi" w:hAnsiTheme="minorHAnsi" w:cstheme="minorHAnsi"/>
          <w:kern w:val="2"/>
          <w:sz w:val="24"/>
          <w:szCs w:val="24"/>
        </w:rPr>
        <w:t>cada Regional se cuenta con un documento específico</w:t>
      </w:r>
      <w:commentRangeEnd w:id="19"/>
      <w:r>
        <w:rPr>
          <w:rStyle w:val="13"/>
          <w:rFonts w:eastAsia="Calibri" w:cs="Times New Roman"/>
          <w:lang w:eastAsia="en-US"/>
        </w:rPr>
        <w:commentReference w:id="19"/>
      </w:r>
      <w:r>
        <w:rPr>
          <w:rFonts w:asciiTheme="minorHAnsi" w:hAnsiTheme="minorHAnsi" w:cstheme="minorHAnsi"/>
          <w:kern w:val="2"/>
          <w:sz w:val="24"/>
          <w:szCs w:val="24"/>
        </w:rPr>
        <w:t>, en el cual se contemplan todos los posibles escenarios asociados a las operaciones tanto administrativas como operativas que ejecuta la institución.</w:t>
      </w:r>
    </w:p>
    <w:p w14:paraId="1CF3E657">
      <w:pPr>
        <w:suppressAutoHyphens/>
        <w:spacing w:line="276" w:lineRule="auto"/>
        <w:rPr>
          <w:rFonts w:asciiTheme="minorHAnsi" w:hAnsiTheme="minorHAnsi" w:cstheme="minorHAnsi"/>
          <w:kern w:val="2"/>
          <w:sz w:val="24"/>
          <w:szCs w:val="24"/>
          <w:lang w:val="es-VE"/>
        </w:rPr>
      </w:pPr>
    </w:p>
    <w:p w14:paraId="53D85246">
      <w:pPr>
        <w:suppressAutoHyphens/>
        <w:spacing w:line="276" w:lineRule="auto"/>
        <w:rPr>
          <w:rFonts w:asciiTheme="minorHAnsi" w:hAnsiTheme="minorHAnsi" w:cstheme="minorHAnsi"/>
          <w:kern w:val="2"/>
          <w:sz w:val="24"/>
          <w:szCs w:val="24"/>
        </w:rPr>
      </w:pPr>
      <w:r>
        <w:rPr>
          <w:rFonts w:asciiTheme="minorHAnsi" w:hAnsiTheme="minorHAnsi" w:cstheme="minorHAnsi"/>
          <w:kern w:val="2"/>
          <w:sz w:val="24"/>
          <w:szCs w:val="24"/>
        </w:rPr>
        <w:t xml:space="preserve">En caso de lesiones personales por </w:t>
      </w:r>
      <w:r>
        <w:rPr>
          <w:rFonts w:asciiTheme="minorHAnsi" w:hAnsiTheme="minorHAnsi" w:cstheme="minorHAnsi"/>
          <w:color w:val="00B050"/>
          <w:kern w:val="2"/>
          <w:sz w:val="24"/>
          <w:szCs w:val="24"/>
        </w:rPr>
        <w:t>siniestros viales</w:t>
      </w:r>
      <w:r>
        <w:rPr>
          <w:rFonts w:asciiTheme="minorHAnsi" w:hAnsiTheme="minorHAnsi" w:cstheme="minorHAnsi"/>
          <w:kern w:val="2"/>
          <w:sz w:val="24"/>
          <w:szCs w:val="24"/>
        </w:rPr>
        <w:t xml:space="preserve"> se deberá seguir el Procedimiento Operativo Normalizado para </w:t>
      </w:r>
      <w:r>
        <w:rPr>
          <w:rFonts w:asciiTheme="minorHAnsi" w:hAnsiTheme="minorHAnsi" w:cstheme="minorHAnsi"/>
          <w:kern w:val="2"/>
          <w:sz w:val="24"/>
          <w:szCs w:val="24"/>
          <w:highlight w:val="yellow"/>
        </w:rPr>
        <w:t xml:space="preserve">accidentes </w:t>
      </w:r>
      <w:commentRangeStart w:id="20"/>
      <w:r>
        <w:rPr>
          <w:rFonts w:asciiTheme="minorHAnsi" w:hAnsiTheme="minorHAnsi" w:cstheme="minorHAnsi"/>
          <w:kern w:val="2"/>
          <w:sz w:val="24"/>
          <w:szCs w:val="24"/>
          <w:highlight w:val="yellow"/>
        </w:rPr>
        <w:t>vehiculares</w:t>
      </w:r>
      <w:commentRangeEnd w:id="20"/>
      <w:r>
        <w:rPr>
          <w:rStyle w:val="13"/>
          <w:rFonts w:eastAsia="Calibri" w:cs="Times New Roman"/>
          <w:lang w:eastAsia="en-US"/>
        </w:rPr>
        <w:commentReference w:id="20"/>
      </w:r>
      <w:r>
        <w:rPr>
          <w:rFonts w:asciiTheme="minorHAnsi" w:hAnsiTheme="minorHAnsi" w:cstheme="minorHAnsi"/>
          <w:kern w:val="2"/>
          <w:sz w:val="24"/>
          <w:szCs w:val="24"/>
        </w:rPr>
        <w:t>.</w:t>
      </w:r>
    </w:p>
    <w:p w14:paraId="2CD929E3">
      <w:pPr>
        <w:pStyle w:val="51"/>
        <w:suppressAutoHyphens/>
        <w:spacing w:line="276" w:lineRule="auto"/>
        <w:rPr>
          <w:rFonts w:asciiTheme="minorHAnsi" w:hAnsiTheme="minorHAnsi" w:cstheme="minorHAnsi"/>
          <w:kern w:val="2"/>
          <w:sz w:val="24"/>
          <w:szCs w:val="24"/>
        </w:rPr>
      </w:pPr>
    </w:p>
    <w:p w14:paraId="2228B6DE">
      <w:pPr>
        <w:suppressAutoHyphens/>
        <w:spacing w:line="276" w:lineRule="auto"/>
        <w:rPr>
          <w:rFonts w:asciiTheme="minorHAnsi" w:hAnsiTheme="minorHAnsi" w:cstheme="minorHAnsi"/>
          <w:kern w:val="2"/>
          <w:sz w:val="24"/>
          <w:szCs w:val="24"/>
        </w:rPr>
      </w:pPr>
      <w:r>
        <w:rPr>
          <w:rFonts w:asciiTheme="minorHAnsi" w:hAnsiTheme="minorHAnsi" w:cstheme="minorHAnsi"/>
          <w:kern w:val="2"/>
          <w:sz w:val="24"/>
          <w:szCs w:val="24"/>
        </w:rPr>
        <w:t>Cada uno de los planes de emergencia deberá ser analizados por el Comité Regional de acuerdo a los centros, sedes y subsedes que le correspondan, los cuales evaluaran la pertinencia de las respuestas ante emergencia viales y con apoyo del grupo de Seguridad y Salud en el Trabajo se determinaran las acciones que permitan su socialización y preparación.</w:t>
      </w:r>
    </w:p>
    <w:p w14:paraId="3DE1C3B3">
      <w:pPr>
        <w:spacing w:line="276" w:lineRule="auto"/>
        <w:rPr>
          <w:rFonts w:asciiTheme="minorHAnsi" w:hAnsiTheme="minorHAnsi" w:cstheme="minorHAnsi"/>
          <w:bCs/>
          <w:sz w:val="24"/>
          <w:szCs w:val="24"/>
        </w:rPr>
      </w:pPr>
    </w:p>
    <w:p w14:paraId="55891152">
      <w:pPr>
        <w:pStyle w:val="3"/>
        <w:numPr>
          <w:ilvl w:val="1"/>
          <w:numId w:val="4"/>
        </w:numPr>
        <w:spacing w:after="0" w:line="276" w:lineRule="auto"/>
        <w:ind w:left="540" w:hanging="540"/>
        <w:rPr>
          <w:rFonts w:asciiTheme="minorHAnsi" w:hAnsiTheme="minorHAnsi" w:cstheme="minorHAnsi"/>
          <w:color w:val="auto"/>
          <w:sz w:val="24"/>
        </w:rPr>
      </w:pPr>
      <w:bookmarkStart w:id="123" w:name="_Toc188966805"/>
      <w:r>
        <w:rPr>
          <w:rFonts w:asciiTheme="minorHAnsi" w:hAnsiTheme="minorHAnsi" w:cstheme="minorHAnsi"/>
          <w:color w:val="auto"/>
          <w:sz w:val="24"/>
        </w:rPr>
        <w:t>INVESTIGACIÓN INTERNA DE SINIESTROS VIALES</w:t>
      </w:r>
      <w:bookmarkEnd w:id="123"/>
    </w:p>
    <w:p w14:paraId="1391E684">
      <w:pPr>
        <w:suppressAutoHyphens/>
        <w:spacing w:line="276" w:lineRule="auto"/>
        <w:rPr>
          <w:rFonts w:asciiTheme="minorHAnsi" w:hAnsiTheme="minorHAnsi" w:cstheme="minorHAnsi"/>
          <w:kern w:val="2"/>
          <w:sz w:val="24"/>
          <w:szCs w:val="24"/>
        </w:rPr>
      </w:pPr>
      <w:r>
        <w:rPr>
          <w:rFonts w:asciiTheme="minorHAnsi" w:hAnsiTheme="minorHAnsi" w:cstheme="minorHAnsi"/>
          <w:kern w:val="2"/>
          <w:sz w:val="24"/>
          <w:szCs w:val="24"/>
        </w:rPr>
        <w:t xml:space="preserve">La entidad cuenta con un procedimiento para el reporte e investigación de casi accidentes e incidentes de trabajo GTH-P-007, en donde se contemplan los lineamientos en caso de </w:t>
      </w:r>
      <w:r>
        <w:rPr>
          <w:rFonts w:asciiTheme="minorHAnsi" w:hAnsiTheme="minorHAnsi" w:cstheme="minorHAnsi"/>
          <w:color w:val="00B050"/>
          <w:kern w:val="2"/>
          <w:sz w:val="24"/>
          <w:szCs w:val="24"/>
        </w:rPr>
        <w:t>siniestros viales</w:t>
      </w:r>
      <w:r>
        <w:rPr>
          <w:rFonts w:asciiTheme="minorHAnsi" w:hAnsiTheme="minorHAnsi" w:cstheme="minorHAnsi"/>
          <w:kern w:val="2"/>
          <w:sz w:val="24"/>
          <w:szCs w:val="24"/>
        </w:rPr>
        <w:t>, así mismo se dispone de una herramienta interna para el registro e investigación de análisis de causalidad de estos eventos.</w:t>
      </w:r>
    </w:p>
    <w:p w14:paraId="5F45139E">
      <w:pPr>
        <w:spacing w:line="276" w:lineRule="auto"/>
        <w:rPr>
          <w:rFonts w:asciiTheme="minorHAnsi" w:hAnsiTheme="minorHAnsi" w:cstheme="minorHAnsi"/>
          <w:sz w:val="24"/>
          <w:szCs w:val="24"/>
          <w:lang w:eastAsia="en-US"/>
        </w:rPr>
      </w:pPr>
      <w:bookmarkStart w:id="124" w:name="_Toc453839023"/>
    </w:p>
    <w:p w14:paraId="780E810B">
      <w:pPr>
        <w:pStyle w:val="4"/>
        <w:numPr>
          <w:ilvl w:val="2"/>
          <w:numId w:val="43"/>
        </w:numPr>
        <w:spacing w:before="0"/>
        <w:rPr>
          <w:rFonts w:asciiTheme="minorHAnsi" w:hAnsiTheme="minorHAnsi" w:cstheme="minorHAnsi"/>
          <w:sz w:val="24"/>
          <w:szCs w:val="24"/>
        </w:rPr>
      </w:pPr>
      <w:bookmarkStart w:id="125" w:name="_Toc496196036"/>
      <w:bookmarkStart w:id="126" w:name="_Toc496196072"/>
      <w:bookmarkStart w:id="127" w:name="_Toc485297502"/>
      <w:bookmarkStart w:id="128" w:name="_Toc496196157"/>
      <w:bookmarkStart w:id="129" w:name="_Toc188966806"/>
      <w:r>
        <w:rPr>
          <w:rFonts w:asciiTheme="minorHAnsi" w:hAnsiTheme="minorHAnsi" w:cstheme="minorHAnsi"/>
          <w:sz w:val="24"/>
          <w:szCs w:val="24"/>
        </w:rPr>
        <w:t>Lecciones aprendidas</w:t>
      </w:r>
      <w:bookmarkEnd w:id="124"/>
      <w:bookmarkEnd w:id="125"/>
      <w:bookmarkEnd w:id="126"/>
      <w:bookmarkEnd w:id="127"/>
      <w:bookmarkEnd w:id="128"/>
      <w:bookmarkEnd w:id="129"/>
    </w:p>
    <w:p w14:paraId="5F796B5F">
      <w:pPr>
        <w:spacing w:line="276" w:lineRule="auto"/>
        <w:rPr>
          <w:rFonts w:asciiTheme="minorHAnsi" w:hAnsiTheme="minorHAnsi" w:cstheme="minorHAnsi"/>
          <w:sz w:val="24"/>
          <w:szCs w:val="24"/>
          <w:lang w:eastAsia="es-CO"/>
        </w:rPr>
      </w:pPr>
    </w:p>
    <w:p w14:paraId="5018F666">
      <w:pPr>
        <w:suppressAutoHyphens/>
        <w:spacing w:line="276" w:lineRule="auto"/>
        <w:rPr>
          <w:rFonts w:eastAsia="Calibri" w:asciiTheme="minorHAnsi" w:hAnsiTheme="minorHAnsi" w:cstheme="minorHAnsi"/>
          <w:kern w:val="2"/>
          <w:sz w:val="24"/>
          <w:szCs w:val="24"/>
          <w:lang w:val="es-VE" w:eastAsia="en-US"/>
        </w:rPr>
      </w:pPr>
      <w:r>
        <w:rPr>
          <w:rFonts w:asciiTheme="minorHAnsi" w:hAnsiTheme="minorHAnsi" w:cstheme="minorHAnsi"/>
          <w:kern w:val="2"/>
          <w:sz w:val="24"/>
          <w:szCs w:val="24"/>
        </w:rPr>
        <w:t xml:space="preserve">Todos los </w:t>
      </w:r>
      <w:r>
        <w:rPr>
          <w:rFonts w:asciiTheme="minorHAnsi" w:hAnsiTheme="minorHAnsi" w:cstheme="minorHAnsi"/>
          <w:color w:val="00B050"/>
          <w:kern w:val="2"/>
          <w:sz w:val="24"/>
          <w:szCs w:val="24"/>
        </w:rPr>
        <w:t>siniestros</w:t>
      </w:r>
      <w:r>
        <w:rPr>
          <w:rFonts w:asciiTheme="minorHAnsi" w:hAnsiTheme="minorHAnsi" w:cstheme="minorHAnsi"/>
          <w:kern w:val="2"/>
          <w:sz w:val="24"/>
          <w:szCs w:val="24"/>
        </w:rPr>
        <w:t xml:space="preserve"> deberán ser socializados a los integrantes del Comité Regional y será el comité mediante el mecanismo de lecciones aprendidas, que se socializará a la comunidad a través de los diferentes medios de comunicación dispuestos por la entidad, con el fin de generar la cultura del autocuidado.</w:t>
      </w:r>
    </w:p>
    <w:p w14:paraId="68B18D8E">
      <w:pPr>
        <w:suppressAutoHyphens/>
        <w:spacing w:line="276" w:lineRule="auto"/>
        <w:rPr>
          <w:rFonts w:asciiTheme="minorHAnsi" w:hAnsiTheme="minorHAnsi" w:cstheme="minorHAnsi"/>
          <w:kern w:val="2"/>
          <w:sz w:val="24"/>
          <w:szCs w:val="24"/>
          <w:lang w:val="es-VE"/>
        </w:rPr>
      </w:pPr>
    </w:p>
    <w:p w14:paraId="7E906D01">
      <w:pPr>
        <w:suppressAutoHyphens/>
        <w:spacing w:line="276" w:lineRule="auto"/>
        <w:rPr>
          <w:rFonts w:asciiTheme="minorHAnsi" w:hAnsiTheme="minorHAnsi" w:cstheme="minorHAnsi"/>
          <w:kern w:val="2"/>
          <w:sz w:val="24"/>
          <w:szCs w:val="24"/>
        </w:rPr>
      </w:pPr>
      <w:r>
        <w:rPr>
          <w:rFonts w:asciiTheme="minorHAnsi" w:hAnsiTheme="minorHAnsi" w:cstheme="minorHAnsi"/>
          <w:kern w:val="2"/>
          <w:sz w:val="24"/>
          <w:szCs w:val="24"/>
        </w:rPr>
        <w:t>Adicionalmente todas las acciones que se generen se gestionaran según lo definido en el en el Procedimiento acciones correctivas, preventivas y de mejora procedimiento de peticiones, quejas, reclamos y sugerencias REGC-P-004.</w:t>
      </w:r>
    </w:p>
    <w:p w14:paraId="0BEEC147">
      <w:pPr>
        <w:pStyle w:val="51"/>
        <w:spacing w:line="276" w:lineRule="auto"/>
        <w:rPr>
          <w:rFonts w:asciiTheme="minorHAnsi" w:hAnsiTheme="minorHAnsi" w:cstheme="minorHAnsi"/>
          <w:bCs/>
          <w:sz w:val="24"/>
          <w:szCs w:val="24"/>
        </w:rPr>
      </w:pPr>
    </w:p>
    <w:p w14:paraId="2203A6D7">
      <w:pPr>
        <w:pStyle w:val="3"/>
        <w:numPr>
          <w:ilvl w:val="1"/>
          <w:numId w:val="4"/>
        </w:numPr>
        <w:spacing w:after="0" w:line="276" w:lineRule="auto"/>
        <w:ind w:left="540" w:hanging="540"/>
        <w:rPr>
          <w:rFonts w:asciiTheme="minorHAnsi" w:hAnsiTheme="minorHAnsi" w:cstheme="minorHAnsi"/>
          <w:color w:val="auto"/>
          <w:sz w:val="24"/>
        </w:rPr>
      </w:pPr>
      <w:bookmarkStart w:id="130" w:name="_Toc188966807"/>
      <w:r>
        <w:rPr>
          <w:rFonts w:asciiTheme="minorHAnsi" w:hAnsiTheme="minorHAnsi" w:cstheme="minorHAnsi"/>
          <w:color w:val="auto"/>
          <w:sz w:val="24"/>
        </w:rPr>
        <w:t>VIAS SEGURAS ADMINISTRADAS POR LA ORGANIZACIÓN</w:t>
      </w:r>
      <w:bookmarkEnd w:id="130"/>
    </w:p>
    <w:p w14:paraId="62D811A5">
      <w:pPr>
        <w:spacing w:line="276" w:lineRule="auto"/>
        <w:rPr>
          <w:rFonts w:asciiTheme="minorHAnsi" w:hAnsiTheme="minorHAnsi" w:cstheme="minorHAnsi"/>
          <w:color w:val="000000"/>
          <w:sz w:val="24"/>
          <w:szCs w:val="24"/>
        </w:rPr>
      </w:pPr>
      <w:r>
        <w:rPr>
          <w:rFonts w:eastAsia="Calibri" w:asciiTheme="minorHAnsi" w:hAnsiTheme="minorHAnsi" w:cstheme="minorHAnsi"/>
          <w:sz w:val="24"/>
          <w:szCs w:val="24"/>
        </w:rPr>
        <w:t xml:space="preserve">El SENA cuenta con una gran cantidad de instalaciones a nivel nacional, las cuales disponen de una infraestructura vial interna que está bajo responsabilidad de la </w:t>
      </w:r>
      <w:r>
        <w:rPr>
          <w:rFonts w:asciiTheme="minorHAnsi" w:hAnsiTheme="minorHAnsi" w:cstheme="minorHAnsi"/>
          <w:color w:val="000000"/>
          <w:sz w:val="24"/>
          <w:szCs w:val="24"/>
        </w:rPr>
        <w:t>Dirección administrativa y financiera de cada Regional, la cual debe asegurar que se gestione oportunamente:</w:t>
      </w:r>
    </w:p>
    <w:p w14:paraId="1629CC66">
      <w:pPr>
        <w:spacing w:line="276" w:lineRule="auto"/>
        <w:rPr>
          <w:rFonts w:asciiTheme="minorHAnsi" w:hAnsiTheme="minorHAnsi" w:cstheme="minorHAnsi"/>
          <w:color w:val="000000"/>
          <w:sz w:val="24"/>
          <w:szCs w:val="24"/>
        </w:rPr>
      </w:pPr>
    </w:p>
    <w:p w14:paraId="5C931648">
      <w:pPr>
        <w:pStyle w:val="51"/>
        <w:numPr>
          <w:ilvl w:val="0"/>
          <w:numId w:val="44"/>
        </w:numPr>
        <w:spacing w:after="0" w:line="276" w:lineRule="auto"/>
        <w:ind w:left="540" w:hanging="540"/>
        <w:rPr>
          <w:rFonts w:asciiTheme="minorHAnsi" w:hAnsiTheme="minorHAnsi" w:cstheme="minorHAnsi"/>
          <w:color w:val="000000"/>
          <w:sz w:val="24"/>
          <w:szCs w:val="24"/>
        </w:rPr>
      </w:pPr>
      <w:r>
        <w:rPr>
          <w:rFonts w:asciiTheme="minorHAnsi" w:hAnsiTheme="minorHAnsi" w:cstheme="minorHAnsi"/>
          <w:color w:val="000000"/>
          <w:sz w:val="24"/>
          <w:szCs w:val="24"/>
        </w:rPr>
        <w:t>La elaboración de planos de vías internas</w:t>
      </w:r>
    </w:p>
    <w:p w14:paraId="11CAAEF6">
      <w:pPr>
        <w:pStyle w:val="51"/>
        <w:numPr>
          <w:ilvl w:val="0"/>
          <w:numId w:val="44"/>
        </w:numPr>
        <w:spacing w:after="0" w:line="276" w:lineRule="auto"/>
        <w:ind w:left="540" w:hanging="540"/>
        <w:rPr>
          <w:rFonts w:asciiTheme="minorHAnsi" w:hAnsiTheme="minorHAnsi" w:cstheme="minorHAnsi"/>
          <w:color w:val="000000"/>
          <w:sz w:val="24"/>
          <w:szCs w:val="24"/>
        </w:rPr>
      </w:pPr>
      <w:r>
        <w:rPr>
          <w:rFonts w:asciiTheme="minorHAnsi" w:hAnsiTheme="minorHAnsi" w:cstheme="minorHAnsi"/>
          <w:color w:val="000000"/>
          <w:sz w:val="24"/>
          <w:szCs w:val="24"/>
        </w:rPr>
        <w:t xml:space="preserve">Identificación de </w:t>
      </w:r>
      <w:r>
        <w:rPr>
          <w:rFonts w:asciiTheme="minorHAnsi" w:hAnsiTheme="minorHAnsi" w:cstheme="minorHAnsi"/>
          <w:color w:val="00B050"/>
          <w:sz w:val="24"/>
          <w:szCs w:val="24"/>
        </w:rPr>
        <w:t>zonas de</w:t>
      </w:r>
      <w:r>
        <w:rPr>
          <w:rFonts w:asciiTheme="minorHAnsi" w:hAnsiTheme="minorHAnsi" w:cstheme="minorHAnsi"/>
          <w:color w:val="000000"/>
          <w:sz w:val="24"/>
          <w:szCs w:val="24"/>
        </w:rPr>
        <w:t xml:space="preserve"> conflicto </w:t>
      </w:r>
      <w:r>
        <w:rPr>
          <w:rFonts w:asciiTheme="minorHAnsi" w:hAnsiTheme="minorHAnsi" w:cstheme="minorHAnsi"/>
          <w:color w:val="00B050"/>
          <w:sz w:val="24"/>
          <w:szCs w:val="24"/>
        </w:rPr>
        <w:t>de tránsito con sus respectivos planes de acción</w:t>
      </w:r>
    </w:p>
    <w:p w14:paraId="27A6CEF0">
      <w:pPr>
        <w:pStyle w:val="51"/>
        <w:numPr>
          <w:ilvl w:val="0"/>
          <w:numId w:val="44"/>
        </w:numPr>
        <w:spacing w:after="0" w:line="276" w:lineRule="auto"/>
        <w:ind w:left="540" w:hanging="540"/>
        <w:rPr>
          <w:rFonts w:asciiTheme="minorHAnsi" w:hAnsiTheme="minorHAnsi" w:cstheme="minorHAnsi"/>
          <w:color w:val="000000"/>
          <w:sz w:val="24"/>
          <w:szCs w:val="24"/>
        </w:rPr>
      </w:pPr>
      <w:r>
        <w:rPr>
          <w:rFonts w:asciiTheme="minorHAnsi" w:hAnsiTheme="minorHAnsi" w:cstheme="minorHAnsi"/>
          <w:color w:val="000000"/>
          <w:sz w:val="24"/>
          <w:szCs w:val="24"/>
        </w:rPr>
        <w:t>Señalización y demarcación de zonas peatonales</w:t>
      </w:r>
    </w:p>
    <w:p w14:paraId="455D902C">
      <w:pPr>
        <w:pStyle w:val="51"/>
        <w:numPr>
          <w:ilvl w:val="0"/>
          <w:numId w:val="44"/>
        </w:numPr>
        <w:spacing w:after="0" w:line="276" w:lineRule="auto"/>
        <w:ind w:left="540" w:hanging="540"/>
        <w:rPr>
          <w:rFonts w:asciiTheme="minorHAnsi" w:hAnsiTheme="minorHAnsi" w:cstheme="minorHAnsi"/>
          <w:color w:val="000000"/>
          <w:sz w:val="24"/>
          <w:szCs w:val="24"/>
        </w:rPr>
      </w:pPr>
      <w:r>
        <w:rPr>
          <w:rFonts w:asciiTheme="minorHAnsi" w:hAnsiTheme="minorHAnsi" w:cstheme="minorHAnsi"/>
          <w:color w:val="000000"/>
          <w:sz w:val="24"/>
          <w:szCs w:val="24"/>
        </w:rPr>
        <w:t>Zonas peatonales separadas</w:t>
      </w:r>
    </w:p>
    <w:p w14:paraId="3170D0A9">
      <w:pPr>
        <w:pStyle w:val="51"/>
        <w:numPr>
          <w:ilvl w:val="0"/>
          <w:numId w:val="44"/>
        </w:numPr>
        <w:spacing w:after="0" w:line="276" w:lineRule="auto"/>
        <w:ind w:left="540" w:hanging="540"/>
        <w:rPr>
          <w:rFonts w:asciiTheme="minorHAnsi" w:hAnsiTheme="minorHAnsi" w:cstheme="minorHAnsi"/>
          <w:color w:val="000000"/>
          <w:sz w:val="24"/>
          <w:szCs w:val="24"/>
        </w:rPr>
      </w:pPr>
      <w:r>
        <w:rPr>
          <w:rFonts w:asciiTheme="minorHAnsi" w:hAnsiTheme="minorHAnsi" w:cstheme="minorHAnsi"/>
          <w:color w:val="000000"/>
          <w:sz w:val="24"/>
          <w:szCs w:val="24"/>
        </w:rPr>
        <w:t>Privilegio del paso de peatones</w:t>
      </w:r>
    </w:p>
    <w:p w14:paraId="5001B3B8">
      <w:pPr>
        <w:pStyle w:val="51"/>
        <w:numPr>
          <w:ilvl w:val="0"/>
          <w:numId w:val="44"/>
        </w:numPr>
        <w:spacing w:after="0" w:line="276" w:lineRule="auto"/>
        <w:ind w:left="540" w:hanging="540"/>
        <w:rPr>
          <w:rFonts w:asciiTheme="minorHAnsi" w:hAnsiTheme="minorHAnsi" w:cstheme="minorHAnsi"/>
          <w:color w:val="000000"/>
          <w:sz w:val="24"/>
          <w:szCs w:val="24"/>
        </w:rPr>
      </w:pPr>
      <w:r>
        <w:rPr>
          <w:rFonts w:asciiTheme="minorHAnsi" w:hAnsiTheme="minorHAnsi" w:cstheme="minorHAnsi"/>
          <w:color w:val="000000"/>
          <w:sz w:val="24"/>
          <w:szCs w:val="24"/>
        </w:rPr>
        <w:t>Instalación de elementos de control de velocidad</w:t>
      </w:r>
    </w:p>
    <w:p w14:paraId="6C5868E4">
      <w:pPr>
        <w:pStyle w:val="51"/>
        <w:numPr>
          <w:ilvl w:val="0"/>
          <w:numId w:val="44"/>
        </w:numPr>
        <w:spacing w:after="0" w:line="276" w:lineRule="auto"/>
        <w:ind w:left="540" w:hanging="540"/>
        <w:rPr>
          <w:rFonts w:asciiTheme="minorHAnsi" w:hAnsiTheme="minorHAnsi" w:cstheme="minorHAnsi"/>
          <w:color w:val="000000"/>
          <w:sz w:val="24"/>
          <w:szCs w:val="24"/>
        </w:rPr>
      </w:pPr>
      <w:r>
        <w:rPr>
          <w:rFonts w:asciiTheme="minorHAnsi" w:hAnsiTheme="minorHAnsi" w:cstheme="minorHAnsi"/>
          <w:color w:val="000000"/>
          <w:sz w:val="24"/>
          <w:szCs w:val="24"/>
        </w:rPr>
        <w:t>Parqueaderos señalizados, demarcados, iluminados, delimitados por tipo de vehículos</w:t>
      </w:r>
    </w:p>
    <w:p w14:paraId="16BCE4DF">
      <w:pPr>
        <w:spacing w:line="276" w:lineRule="auto"/>
        <w:rPr>
          <w:rFonts w:asciiTheme="minorHAnsi" w:hAnsiTheme="minorHAnsi" w:cstheme="minorHAnsi"/>
          <w:color w:val="00B050"/>
          <w:sz w:val="24"/>
          <w:szCs w:val="24"/>
        </w:rPr>
      </w:pPr>
    </w:p>
    <w:p w14:paraId="3B83DC14">
      <w:pPr>
        <w:spacing w:line="276" w:lineRule="auto"/>
        <w:rPr>
          <w:rFonts w:asciiTheme="minorHAnsi" w:hAnsiTheme="minorHAnsi" w:cstheme="minorHAnsi"/>
          <w:color w:val="00B050"/>
          <w:sz w:val="24"/>
          <w:szCs w:val="24"/>
        </w:rPr>
      </w:pPr>
      <w:r>
        <w:rPr>
          <w:rFonts w:asciiTheme="minorHAnsi" w:hAnsiTheme="minorHAnsi" w:cstheme="minorHAnsi"/>
          <w:color w:val="00B050"/>
          <w:sz w:val="24"/>
          <w:szCs w:val="24"/>
        </w:rPr>
        <w:t xml:space="preserve">Cada una de las sedes cuenta con su protocolo de operación, el cual contempla los aspectos relacionados y contemplan entre otros las siguientes disposiciones: </w:t>
      </w:r>
    </w:p>
    <w:p w14:paraId="5837747D">
      <w:pPr>
        <w:spacing w:line="276" w:lineRule="auto"/>
        <w:rPr>
          <w:rFonts w:asciiTheme="minorHAnsi" w:hAnsiTheme="minorHAnsi" w:cstheme="minorHAnsi"/>
          <w:color w:val="00B050"/>
          <w:sz w:val="24"/>
          <w:szCs w:val="24"/>
        </w:rPr>
      </w:pPr>
    </w:p>
    <w:p w14:paraId="7D388FE4">
      <w:pPr>
        <w:spacing w:after="40" w:line="276" w:lineRule="auto"/>
        <w:contextualSpacing/>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Respecto a peatón:</w:t>
      </w:r>
    </w:p>
    <w:p w14:paraId="13FBD39E">
      <w:pPr>
        <w:spacing w:after="40" w:line="276" w:lineRule="auto"/>
        <w:contextualSpacing/>
        <w:rPr>
          <w:rFonts w:eastAsia="Calibri" w:asciiTheme="minorHAnsi" w:hAnsiTheme="minorHAnsi" w:cstheme="minorHAnsi"/>
          <w:b/>
          <w:sz w:val="24"/>
          <w:szCs w:val="24"/>
          <w:lang w:eastAsia="en-US"/>
        </w:rPr>
      </w:pPr>
    </w:p>
    <w:p w14:paraId="7DF51CD5">
      <w:pPr>
        <w:numPr>
          <w:ilvl w:val="1"/>
          <w:numId w:val="45"/>
        </w:numPr>
        <w:spacing w:after="40" w:line="276" w:lineRule="auto"/>
        <w:ind w:left="1260" w:hanging="720"/>
        <w:contextualSpacing/>
        <w:rPr>
          <w:rFonts w:eastAsia="Calibri" w:asciiTheme="minorHAnsi" w:hAnsiTheme="minorHAnsi" w:cstheme="minorHAnsi"/>
          <w:b/>
          <w:sz w:val="24"/>
          <w:szCs w:val="24"/>
          <w:lang w:eastAsia="en-US"/>
        </w:rPr>
      </w:pPr>
      <w:r>
        <w:rPr>
          <w:rFonts w:eastAsia="Calibri" w:asciiTheme="minorHAnsi" w:hAnsiTheme="minorHAnsi" w:cstheme="minorHAnsi"/>
          <w:sz w:val="24"/>
          <w:szCs w:val="24"/>
          <w:lang w:eastAsia="en-US"/>
        </w:rPr>
        <w:t>Las zonas de desplazamiento de peatones deberán estar identificadas como tal, en lo posible separadas de zonas de circulación de los vehículos y en caso contrario se destinarán zonas para el tránsito seguro de peatones señalizado de acuerdo a la norma en mención.</w:t>
      </w:r>
    </w:p>
    <w:p w14:paraId="3F6003A7">
      <w:pPr>
        <w:numPr>
          <w:ilvl w:val="1"/>
          <w:numId w:val="45"/>
        </w:numPr>
        <w:spacing w:after="40" w:line="276" w:lineRule="auto"/>
        <w:ind w:left="1260" w:hanging="720"/>
        <w:contextualSpacing/>
        <w:rPr>
          <w:rFonts w:eastAsia="Calibri" w:asciiTheme="minorHAnsi" w:hAnsiTheme="minorHAnsi" w:cstheme="minorHAnsi"/>
          <w:b/>
          <w:sz w:val="24"/>
          <w:szCs w:val="24"/>
          <w:lang w:eastAsia="en-US"/>
        </w:rPr>
      </w:pPr>
      <w:r>
        <w:rPr>
          <w:rFonts w:eastAsia="Calibri" w:asciiTheme="minorHAnsi" w:hAnsiTheme="minorHAnsi" w:cstheme="minorHAnsi"/>
          <w:sz w:val="24"/>
          <w:szCs w:val="24"/>
          <w:lang w:eastAsia="en-US"/>
        </w:rPr>
        <w:t xml:space="preserve">El paso de peatones será siempre prioridad. </w:t>
      </w:r>
    </w:p>
    <w:p w14:paraId="6658ABB8">
      <w:pPr>
        <w:spacing w:after="40" w:line="276" w:lineRule="auto"/>
        <w:contextualSpacing/>
        <w:rPr>
          <w:rFonts w:eastAsia="Calibri" w:asciiTheme="minorHAnsi" w:hAnsiTheme="minorHAnsi" w:cstheme="minorHAnsi"/>
          <w:sz w:val="24"/>
          <w:szCs w:val="24"/>
          <w:lang w:eastAsia="en-US"/>
        </w:rPr>
      </w:pPr>
    </w:p>
    <w:p w14:paraId="6178E346">
      <w:pPr>
        <w:spacing w:after="40" w:line="276" w:lineRule="auto"/>
        <w:contextualSpacing/>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 xml:space="preserve">Respecto a las velocidades de circulación de vehículos: </w:t>
      </w:r>
    </w:p>
    <w:p w14:paraId="75B3EAD0">
      <w:pPr>
        <w:numPr>
          <w:ilvl w:val="1"/>
          <w:numId w:val="45"/>
        </w:numPr>
        <w:spacing w:after="40" w:line="276" w:lineRule="auto"/>
        <w:ind w:left="1260" w:hanging="720"/>
        <w:contextualSpacing/>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Todo vehículo que transite en rutas internas de la empresa no podrá excederse de 10 kilómetros por hora.</w:t>
      </w:r>
    </w:p>
    <w:p w14:paraId="12442D78">
      <w:pPr>
        <w:numPr>
          <w:ilvl w:val="1"/>
          <w:numId w:val="45"/>
        </w:numPr>
        <w:spacing w:after="40" w:line="276" w:lineRule="auto"/>
        <w:ind w:left="1260" w:hanging="720"/>
        <w:contextualSpacing/>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Las zonas de circulación vehicular deberán estar identificadas como tal especificando la velocidad máxima de 10 kilómetros por hora.</w:t>
      </w:r>
    </w:p>
    <w:p w14:paraId="600C06A0">
      <w:pPr>
        <w:spacing w:after="40" w:line="276" w:lineRule="auto"/>
        <w:contextualSpacing/>
        <w:rPr>
          <w:rFonts w:eastAsia="Calibri" w:asciiTheme="minorHAnsi" w:hAnsiTheme="minorHAnsi" w:cstheme="minorHAnsi"/>
          <w:sz w:val="24"/>
          <w:szCs w:val="24"/>
          <w:lang w:eastAsia="en-US"/>
        </w:rPr>
      </w:pPr>
    </w:p>
    <w:p w14:paraId="5C910A77">
      <w:pPr>
        <w:spacing w:after="40" w:line="276" w:lineRule="auto"/>
        <w:contextualSpacing/>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 xml:space="preserve">Respecto a las zonas destinadas como parqueaderos temporales: </w:t>
      </w:r>
    </w:p>
    <w:p w14:paraId="434B6813">
      <w:pPr>
        <w:numPr>
          <w:ilvl w:val="1"/>
          <w:numId w:val="45"/>
        </w:numPr>
        <w:spacing w:after="40" w:line="276" w:lineRule="auto"/>
        <w:ind w:left="1260" w:hanging="720"/>
        <w:contextualSpacing/>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Todo vehículo que transite en zonas de parqueaderos temporales de la empresa no podrá excederse de 10 kilómetros por hora.</w:t>
      </w:r>
    </w:p>
    <w:p w14:paraId="3EE46982">
      <w:pPr>
        <w:numPr>
          <w:ilvl w:val="1"/>
          <w:numId w:val="45"/>
        </w:numPr>
        <w:spacing w:after="40" w:line="276" w:lineRule="auto"/>
        <w:ind w:left="1260" w:hanging="720"/>
        <w:contextualSpacing/>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Estas zonas deberán estar identificadas como tal especificando la velocidad máxima de 10 kilómetros por hora.</w:t>
      </w:r>
    </w:p>
    <w:p w14:paraId="1809E0C3">
      <w:pPr>
        <w:spacing w:line="276" w:lineRule="auto"/>
        <w:rPr>
          <w:rFonts w:asciiTheme="minorHAnsi" w:hAnsiTheme="minorHAnsi" w:cstheme="minorHAnsi"/>
          <w:bCs/>
          <w:sz w:val="24"/>
          <w:szCs w:val="24"/>
        </w:rPr>
      </w:pPr>
    </w:p>
    <w:p w14:paraId="52C0E53B">
      <w:pPr>
        <w:pStyle w:val="4"/>
        <w:numPr>
          <w:ilvl w:val="2"/>
          <w:numId w:val="43"/>
        </w:numPr>
        <w:spacing w:before="0"/>
        <w:rPr>
          <w:rFonts w:asciiTheme="minorHAnsi" w:hAnsiTheme="minorHAnsi" w:cstheme="minorHAnsi"/>
          <w:sz w:val="24"/>
          <w:szCs w:val="24"/>
        </w:rPr>
      </w:pPr>
      <w:bookmarkStart w:id="131" w:name="_Toc453839015"/>
      <w:bookmarkStart w:id="132" w:name="_Toc485297494"/>
      <w:bookmarkStart w:id="133" w:name="_Toc497841897"/>
      <w:bookmarkStart w:id="134" w:name="_Toc519172543"/>
      <w:bookmarkStart w:id="135" w:name="_Toc188966808"/>
      <w:r>
        <w:rPr>
          <w:rFonts w:asciiTheme="minorHAnsi" w:hAnsiTheme="minorHAnsi" w:cstheme="minorHAnsi"/>
          <w:sz w:val="24"/>
          <w:szCs w:val="24"/>
        </w:rPr>
        <w:t>INFRAESTRUCTURA SEGURA</w:t>
      </w:r>
      <w:bookmarkEnd w:id="131"/>
      <w:bookmarkEnd w:id="132"/>
      <w:bookmarkEnd w:id="133"/>
      <w:r>
        <w:rPr>
          <w:rFonts w:asciiTheme="minorHAnsi" w:hAnsiTheme="minorHAnsi" w:cstheme="minorHAnsi"/>
          <w:sz w:val="24"/>
          <w:szCs w:val="24"/>
        </w:rPr>
        <w:t>.</w:t>
      </w:r>
      <w:bookmarkEnd w:id="134"/>
      <w:bookmarkEnd w:id="135"/>
    </w:p>
    <w:p w14:paraId="4D26E1BF">
      <w:pPr>
        <w:spacing w:line="276" w:lineRule="auto"/>
        <w:rPr>
          <w:rFonts w:eastAsia="Calibri" w:asciiTheme="minorHAnsi" w:hAnsiTheme="minorHAnsi" w:cstheme="minorHAnsi"/>
          <w:sz w:val="24"/>
          <w:szCs w:val="24"/>
          <w:lang w:eastAsia="en-US"/>
        </w:rPr>
      </w:pPr>
    </w:p>
    <w:p w14:paraId="67AF4A01">
      <w:pPr>
        <w:pStyle w:val="5"/>
        <w:numPr>
          <w:ilvl w:val="3"/>
          <w:numId w:val="33"/>
        </w:numPr>
        <w:spacing w:before="0"/>
        <w:rPr>
          <w:rFonts w:eastAsia="Calibri" w:asciiTheme="minorHAnsi" w:hAnsiTheme="minorHAnsi" w:cstheme="minorHAnsi"/>
          <w:sz w:val="24"/>
          <w:szCs w:val="24"/>
        </w:rPr>
      </w:pPr>
      <w:r>
        <w:rPr>
          <w:rFonts w:eastAsia="Calibri" w:asciiTheme="minorHAnsi" w:hAnsiTheme="minorHAnsi" w:cstheme="minorHAnsi"/>
          <w:sz w:val="24"/>
          <w:szCs w:val="24"/>
        </w:rPr>
        <w:t>Señalización y demarcación</w:t>
      </w:r>
    </w:p>
    <w:p w14:paraId="3F629BBA">
      <w:pPr>
        <w:rPr>
          <w:rFonts w:eastAsia="Calibri"/>
          <w:lang w:eastAsia="es-CO"/>
        </w:rPr>
      </w:pPr>
    </w:p>
    <w:p w14:paraId="4AB6FE9A">
      <w:pPr>
        <w:spacing w:after="40"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El SENA establece como directriz general, que todas las señales de tránsito internas y de responsabilidad propia, deberán conservarse para garantizar su visibilidad y lograr la misma forma y color durante el día y la noche; todos los dispositivos para la regulación del tránsito deberán ser elaborados preferiblemente con materiales reflectivos o estar convenientemente iluminados sin deslumbrar a los conductores, de acuerdo a las normas establecidas para tal fin.</w:t>
      </w:r>
    </w:p>
    <w:p w14:paraId="6952258C">
      <w:pPr>
        <w:autoSpaceDE w:val="0"/>
        <w:autoSpaceDN w:val="0"/>
        <w:adjustRightInd w:val="0"/>
        <w:spacing w:line="276" w:lineRule="auto"/>
        <w:rPr>
          <w:rFonts w:eastAsia="Calibri" w:asciiTheme="minorHAnsi" w:hAnsiTheme="minorHAnsi" w:cstheme="minorHAnsi"/>
          <w:b/>
          <w:bCs/>
          <w:color w:val="000000"/>
          <w:sz w:val="24"/>
          <w:szCs w:val="24"/>
          <w:lang w:eastAsia="en-US"/>
        </w:rPr>
      </w:pPr>
    </w:p>
    <w:p w14:paraId="0F775044">
      <w:pPr>
        <w:autoSpaceDE w:val="0"/>
        <w:autoSpaceDN w:val="0"/>
        <w:adjustRightInd w:val="0"/>
        <w:spacing w:line="276" w:lineRule="auto"/>
        <w:rPr>
          <w:rFonts w:eastAsia="Calibri" w:asciiTheme="minorHAnsi" w:hAnsiTheme="minorHAnsi" w:cstheme="minorHAnsi"/>
          <w:color w:val="000000"/>
          <w:sz w:val="24"/>
          <w:szCs w:val="24"/>
          <w:lang w:eastAsia="en-US"/>
        </w:rPr>
      </w:pPr>
      <w:r>
        <w:rPr>
          <w:rFonts w:eastAsia="Calibri" w:asciiTheme="minorHAnsi" w:hAnsiTheme="minorHAnsi" w:cstheme="minorHAnsi"/>
          <w:bCs/>
          <w:color w:val="000000"/>
          <w:sz w:val="24"/>
          <w:szCs w:val="24"/>
          <w:lang w:eastAsia="en-US"/>
        </w:rPr>
        <w:t>El SENA</w:t>
      </w:r>
      <w:r>
        <w:rPr>
          <w:rFonts w:eastAsia="Calibri" w:asciiTheme="minorHAnsi" w:hAnsiTheme="minorHAnsi" w:cstheme="minorHAnsi"/>
          <w:bCs/>
          <w:color w:val="000000"/>
          <w:sz w:val="24"/>
          <w:szCs w:val="24"/>
          <w:lang w:val="es-VE" w:eastAsia="en-US"/>
        </w:rPr>
        <w:t xml:space="preserve"> </w:t>
      </w:r>
      <w:r>
        <w:rPr>
          <w:rFonts w:eastAsia="Calibri" w:asciiTheme="minorHAnsi" w:hAnsiTheme="minorHAnsi" w:cstheme="minorHAnsi"/>
          <w:bCs/>
          <w:color w:val="000000"/>
          <w:sz w:val="24"/>
          <w:szCs w:val="24"/>
          <w:lang w:eastAsia="en-US"/>
        </w:rPr>
        <w:t xml:space="preserve">realizará el </w:t>
      </w:r>
      <w:r>
        <w:rPr>
          <w:rFonts w:eastAsia="Calibri" w:asciiTheme="minorHAnsi" w:hAnsiTheme="minorHAnsi" w:cstheme="minorHAnsi"/>
          <w:color w:val="000000"/>
          <w:sz w:val="24"/>
          <w:szCs w:val="24"/>
          <w:lang w:eastAsia="en-US"/>
        </w:rPr>
        <w:t>uso de símbolos y pictogramas, así como de leyendas, letras, palabras y separaciones de señalizaciones de acuerdo a las orientaciones descritas en la normatividad vigente.</w:t>
      </w:r>
    </w:p>
    <w:p w14:paraId="6F4F0376">
      <w:pPr>
        <w:autoSpaceDE w:val="0"/>
        <w:autoSpaceDN w:val="0"/>
        <w:adjustRightInd w:val="0"/>
        <w:spacing w:line="276" w:lineRule="auto"/>
        <w:rPr>
          <w:rFonts w:eastAsia="Calibri" w:asciiTheme="minorHAnsi" w:hAnsiTheme="minorHAnsi" w:cstheme="minorHAnsi"/>
          <w:color w:val="000000"/>
          <w:sz w:val="24"/>
          <w:szCs w:val="24"/>
          <w:lang w:eastAsia="en-US"/>
        </w:rPr>
      </w:pPr>
    </w:p>
    <w:p w14:paraId="4544C000">
      <w:pPr>
        <w:autoSpaceDE w:val="0"/>
        <w:autoSpaceDN w:val="0"/>
        <w:adjustRightInd w:val="0"/>
        <w:spacing w:line="276" w:lineRule="auto"/>
        <w:rPr>
          <w:rFonts w:eastAsia="Calibri" w:asciiTheme="minorHAnsi" w:hAnsiTheme="minorHAnsi" w:cstheme="minorHAnsi"/>
          <w:color w:val="000000"/>
          <w:sz w:val="24"/>
          <w:szCs w:val="24"/>
          <w:lang w:eastAsia="en-US"/>
        </w:rPr>
      </w:pPr>
      <w:r>
        <w:rPr>
          <w:rFonts w:eastAsia="Calibri" w:asciiTheme="minorHAnsi" w:hAnsiTheme="minorHAnsi" w:cstheme="minorHAnsi"/>
          <w:color w:val="000000"/>
          <w:sz w:val="24"/>
          <w:szCs w:val="24"/>
          <w:lang w:eastAsia="en-US"/>
        </w:rPr>
        <w:t>Se encuentra prohibido acompañar los dispositivos para la regulación del tránsito, y en especial las señales verticales por mensajes publicitarios, dado que le resta efectividad a la señal, convirtiéndose en distractor e incrementando el riesgo de accidentes.</w:t>
      </w:r>
    </w:p>
    <w:p w14:paraId="79869CD5">
      <w:pPr>
        <w:autoSpaceDE w:val="0"/>
        <w:autoSpaceDN w:val="0"/>
        <w:adjustRightInd w:val="0"/>
        <w:spacing w:line="276" w:lineRule="auto"/>
        <w:rPr>
          <w:rFonts w:eastAsia="Calibri" w:asciiTheme="minorHAnsi" w:hAnsiTheme="minorHAnsi" w:cstheme="minorHAnsi"/>
          <w:color w:val="000000"/>
          <w:sz w:val="24"/>
          <w:szCs w:val="24"/>
          <w:lang w:eastAsia="en-US"/>
        </w:rPr>
      </w:pPr>
    </w:p>
    <w:p w14:paraId="3C3B999B">
      <w:pPr>
        <w:spacing w:after="40"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Las vías internas de circulación de vehículo y aquellas de ingreso y salida del personal se señalizarán de acuerdo a lo exigido por la Resolución 20243040045005 DE 2024 expedida por el Ministerio de Transporte.</w:t>
      </w:r>
    </w:p>
    <w:p w14:paraId="55809D75">
      <w:pPr>
        <w:autoSpaceDE w:val="0"/>
        <w:autoSpaceDN w:val="0"/>
        <w:adjustRightInd w:val="0"/>
        <w:spacing w:line="276" w:lineRule="auto"/>
        <w:rPr>
          <w:rFonts w:eastAsia="Calibri" w:asciiTheme="minorHAnsi" w:hAnsiTheme="minorHAnsi" w:cstheme="minorHAnsi"/>
          <w:bCs/>
          <w:color w:val="000000"/>
          <w:sz w:val="24"/>
          <w:szCs w:val="24"/>
          <w:lang w:eastAsia="en-US"/>
        </w:rPr>
      </w:pPr>
    </w:p>
    <w:p w14:paraId="42257CA7">
      <w:pPr>
        <w:autoSpaceDE w:val="0"/>
        <w:autoSpaceDN w:val="0"/>
        <w:adjustRightInd w:val="0"/>
        <w:spacing w:line="276" w:lineRule="auto"/>
        <w:rPr>
          <w:rFonts w:eastAsia="Calibri" w:asciiTheme="minorHAnsi" w:hAnsiTheme="minorHAnsi" w:cstheme="minorHAnsi"/>
          <w:bCs/>
          <w:color w:val="000000"/>
          <w:sz w:val="24"/>
          <w:szCs w:val="24"/>
          <w:lang w:eastAsia="en-US"/>
        </w:rPr>
      </w:pPr>
      <w:r>
        <w:rPr>
          <w:rFonts w:eastAsia="Calibri" w:asciiTheme="minorHAnsi" w:hAnsiTheme="minorHAnsi" w:cstheme="minorHAnsi"/>
          <w:bCs/>
          <w:color w:val="000000"/>
          <w:sz w:val="24"/>
          <w:szCs w:val="24"/>
          <w:lang w:eastAsia="en-US"/>
        </w:rPr>
        <w:t>El Sena se compromete a:</w:t>
      </w:r>
    </w:p>
    <w:p w14:paraId="332BE2C4">
      <w:pPr>
        <w:autoSpaceDE w:val="0"/>
        <w:autoSpaceDN w:val="0"/>
        <w:adjustRightInd w:val="0"/>
        <w:spacing w:line="276" w:lineRule="auto"/>
        <w:rPr>
          <w:rFonts w:eastAsia="Calibri" w:asciiTheme="minorHAnsi" w:hAnsiTheme="minorHAnsi" w:cstheme="minorHAnsi"/>
          <w:b/>
          <w:bCs/>
          <w:color w:val="000000"/>
          <w:sz w:val="24"/>
          <w:szCs w:val="24"/>
          <w:lang w:eastAsia="en-US"/>
        </w:rPr>
      </w:pPr>
    </w:p>
    <w:p w14:paraId="35A759B6">
      <w:pPr>
        <w:numPr>
          <w:ilvl w:val="0"/>
          <w:numId w:val="45"/>
        </w:numPr>
        <w:autoSpaceDE w:val="0"/>
        <w:autoSpaceDN w:val="0"/>
        <w:adjustRightInd w:val="0"/>
        <w:spacing w:after="200" w:line="276" w:lineRule="auto"/>
        <w:ind w:left="540" w:hanging="540"/>
        <w:contextualSpacing/>
        <w:rPr>
          <w:rFonts w:eastAsia="Calibri" w:asciiTheme="minorHAnsi" w:hAnsiTheme="minorHAnsi" w:cstheme="minorHAnsi"/>
          <w:color w:val="000000"/>
          <w:sz w:val="24"/>
          <w:szCs w:val="24"/>
          <w:lang w:eastAsia="en-US"/>
        </w:rPr>
      </w:pPr>
      <w:r>
        <w:rPr>
          <w:rFonts w:eastAsia="Calibri" w:asciiTheme="minorHAnsi" w:hAnsiTheme="minorHAnsi" w:cstheme="minorHAnsi"/>
          <w:bCs/>
          <w:color w:val="000000"/>
          <w:sz w:val="24"/>
          <w:szCs w:val="24"/>
          <w:lang w:eastAsia="en-US"/>
        </w:rPr>
        <w:t xml:space="preserve">Mantener </w:t>
      </w:r>
      <w:r>
        <w:rPr>
          <w:rFonts w:eastAsia="Calibri" w:asciiTheme="minorHAnsi" w:hAnsiTheme="minorHAnsi" w:cstheme="minorHAnsi"/>
          <w:color w:val="000000"/>
          <w:sz w:val="24"/>
          <w:szCs w:val="24"/>
          <w:lang w:eastAsia="en-US"/>
        </w:rPr>
        <w:t>todas las señales que regulen el tránsito, en su correcta posición, limpias y legibles durante el tiempo que estén en nuestras instalaciones.</w:t>
      </w:r>
    </w:p>
    <w:p w14:paraId="70297328">
      <w:pPr>
        <w:numPr>
          <w:ilvl w:val="0"/>
          <w:numId w:val="45"/>
        </w:numPr>
        <w:autoSpaceDE w:val="0"/>
        <w:autoSpaceDN w:val="0"/>
        <w:adjustRightInd w:val="0"/>
        <w:spacing w:line="276" w:lineRule="auto"/>
        <w:ind w:left="540" w:hanging="540"/>
        <w:contextualSpacing/>
        <w:rPr>
          <w:rFonts w:eastAsia="Calibri" w:asciiTheme="minorHAnsi" w:hAnsiTheme="minorHAnsi" w:cstheme="minorHAnsi"/>
          <w:color w:val="000000"/>
          <w:sz w:val="24"/>
          <w:szCs w:val="24"/>
          <w:lang w:eastAsia="en-US"/>
        </w:rPr>
      </w:pPr>
      <w:r>
        <w:rPr>
          <w:rFonts w:eastAsia="Calibri" w:asciiTheme="minorHAnsi" w:hAnsiTheme="minorHAnsi" w:cstheme="minorHAnsi"/>
          <w:color w:val="000000"/>
          <w:sz w:val="24"/>
          <w:szCs w:val="24"/>
          <w:lang w:eastAsia="en-US"/>
        </w:rPr>
        <w:t>Implementar acciones de mantenimiento para las señalizaciones, las cuales irán de acuerdo a la condición en la que se encuentren e incluirán el reemplazo de los dispositivos defectuosos, el retiro de los que no cumplan con el objeto para el cual fueron diseñados (debido a que han cesado las condiciones que obligaron a su instalación) y un mantenimiento rutinario de lavado.</w:t>
      </w:r>
    </w:p>
    <w:p w14:paraId="0133AFC9">
      <w:pPr>
        <w:autoSpaceDE w:val="0"/>
        <w:autoSpaceDN w:val="0"/>
        <w:adjustRightInd w:val="0"/>
        <w:spacing w:line="276" w:lineRule="auto"/>
        <w:contextualSpacing/>
        <w:rPr>
          <w:rFonts w:eastAsia="Calibri" w:asciiTheme="minorHAnsi" w:hAnsiTheme="minorHAnsi" w:cstheme="minorHAnsi"/>
          <w:color w:val="000000"/>
          <w:sz w:val="24"/>
          <w:szCs w:val="24"/>
          <w:lang w:eastAsia="en-US"/>
        </w:rPr>
      </w:pPr>
    </w:p>
    <w:p w14:paraId="36EB5503">
      <w:pPr>
        <w:pStyle w:val="5"/>
        <w:numPr>
          <w:ilvl w:val="3"/>
          <w:numId w:val="33"/>
        </w:numPr>
        <w:spacing w:before="0"/>
        <w:rPr>
          <w:rFonts w:eastAsia="Calibri" w:asciiTheme="minorHAnsi" w:hAnsiTheme="minorHAnsi" w:cstheme="minorHAnsi"/>
          <w:sz w:val="24"/>
          <w:szCs w:val="24"/>
        </w:rPr>
      </w:pPr>
      <w:r>
        <w:rPr>
          <w:rFonts w:eastAsia="Calibri" w:asciiTheme="minorHAnsi" w:hAnsiTheme="minorHAnsi" w:cstheme="minorHAnsi"/>
          <w:sz w:val="24"/>
          <w:szCs w:val="24"/>
        </w:rPr>
        <w:t>Instalación y mantenimiento de señales</w:t>
      </w:r>
    </w:p>
    <w:p w14:paraId="7D292742">
      <w:pPr>
        <w:spacing w:line="276" w:lineRule="auto"/>
        <w:rPr>
          <w:rFonts w:eastAsia="Calibri" w:asciiTheme="minorHAnsi" w:hAnsiTheme="minorHAnsi" w:cstheme="minorHAnsi"/>
          <w:sz w:val="24"/>
          <w:szCs w:val="24"/>
          <w:lang w:eastAsia="es-CO"/>
        </w:rPr>
      </w:pPr>
    </w:p>
    <w:p w14:paraId="2ED40C1C">
      <w:pPr>
        <w:autoSpaceDE w:val="0"/>
        <w:autoSpaceDN w:val="0"/>
        <w:adjustRightInd w:val="0"/>
        <w:spacing w:line="276" w:lineRule="auto"/>
        <w:rPr>
          <w:rFonts w:eastAsia="Calibri" w:asciiTheme="minorHAnsi" w:hAnsiTheme="minorHAnsi" w:cstheme="minorHAnsi"/>
          <w:sz w:val="24"/>
          <w:szCs w:val="24"/>
          <w:lang w:eastAsia="en-US"/>
        </w:rPr>
      </w:pPr>
      <w:r>
        <w:rPr>
          <w:rFonts w:eastAsia="Calibri" w:asciiTheme="minorHAnsi" w:hAnsiTheme="minorHAnsi" w:cstheme="minorHAnsi"/>
          <w:sz w:val="24"/>
          <w:szCs w:val="24"/>
          <w:lang w:eastAsia="en-US"/>
        </w:rPr>
        <w:t>Los Directores y Subdirectores Regionales del SENA deberán, dentro de los proyectos que se presentan para cada vigencia, gestionar un rubro dentro de los designados, para el mantenimiento de la señalización, de acuerdo a lo que está estipulado dentro del Manual de Mantenimiento de construcciones SENA.</w:t>
      </w:r>
    </w:p>
    <w:p w14:paraId="475C59FF">
      <w:pPr>
        <w:spacing w:line="276" w:lineRule="auto"/>
        <w:rPr>
          <w:rFonts w:asciiTheme="minorHAnsi" w:hAnsiTheme="minorHAnsi" w:cstheme="minorHAnsi"/>
          <w:bCs/>
          <w:sz w:val="24"/>
          <w:szCs w:val="24"/>
        </w:rPr>
      </w:pPr>
    </w:p>
    <w:p w14:paraId="0C9EAA4B">
      <w:pPr>
        <w:spacing w:line="276" w:lineRule="auto"/>
        <w:rPr>
          <w:rFonts w:asciiTheme="minorHAnsi" w:hAnsiTheme="minorHAnsi" w:cstheme="minorHAnsi"/>
          <w:bCs/>
          <w:sz w:val="24"/>
          <w:szCs w:val="24"/>
        </w:rPr>
      </w:pPr>
    </w:p>
    <w:p w14:paraId="1B7D027E">
      <w:pPr>
        <w:pStyle w:val="3"/>
        <w:numPr>
          <w:ilvl w:val="1"/>
          <w:numId w:val="4"/>
        </w:numPr>
        <w:spacing w:after="0" w:line="276" w:lineRule="auto"/>
        <w:ind w:left="540" w:hanging="540"/>
        <w:rPr>
          <w:rFonts w:asciiTheme="minorHAnsi" w:hAnsiTheme="minorHAnsi" w:cstheme="minorHAnsi"/>
          <w:color w:val="auto"/>
          <w:sz w:val="24"/>
        </w:rPr>
      </w:pPr>
      <w:bookmarkStart w:id="136" w:name="_Toc188966809"/>
      <w:r>
        <w:rPr>
          <w:rFonts w:asciiTheme="minorHAnsi" w:hAnsiTheme="minorHAnsi" w:cstheme="minorHAnsi"/>
          <w:color w:val="auto"/>
          <w:sz w:val="24"/>
        </w:rPr>
        <w:t>PLANIFICACIÓN DE DESPLAZAMIENTOS</w:t>
      </w:r>
      <w:bookmarkEnd w:id="136"/>
    </w:p>
    <w:p w14:paraId="0EAC6210">
      <w:pPr>
        <w:suppressAutoHyphens/>
        <w:spacing w:after="200" w:line="276" w:lineRule="auto"/>
        <w:rPr>
          <w:rFonts w:eastAsia="Calibri" w:asciiTheme="minorHAnsi" w:hAnsiTheme="minorHAnsi" w:cstheme="minorHAnsi"/>
          <w:kern w:val="2"/>
          <w:sz w:val="24"/>
          <w:szCs w:val="24"/>
          <w:lang w:val="es-VE" w:eastAsia="en-US"/>
        </w:rPr>
      </w:pPr>
      <w:r>
        <w:rPr>
          <w:rFonts w:eastAsia="Calibri" w:asciiTheme="minorHAnsi" w:hAnsiTheme="minorHAnsi" w:cstheme="minorHAnsi"/>
          <w:kern w:val="2"/>
          <w:sz w:val="24"/>
          <w:szCs w:val="24"/>
          <w:lang w:eastAsia="en-US"/>
        </w:rPr>
        <w:t xml:space="preserve">El SENA dispone de un estándar para la planificación y registro de sus </w:t>
      </w:r>
      <w:r>
        <w:rPr>
          <w:rFonts w:eastAsia="Calibri" w:asciiTheme="minorHAnsi" w:hAnsiTheme="minorHAnsi" w:cstheme="minorHAnsi"/>
          <w:color w:val="00B050"/>
          <w:kern w:val="2"/>
          <w:sz w:val="24"/>
          <w:szCs w:val="24"/>
          <w:lang w:eastAsia="en-US"/>
        </w:rPr>
        <w:t xml:space="preserve">desplazamientos </w:t>
      </w:r>
      <w:r>
        <w:rPr>
          <w:rFonts w:eastAsia="Calibri" w:asciiTheme="minorHAnsi" w:hAnsiTheme="minorHAnsi" w:cstheme="minorHAnsi"/>
          <w:kern w:val="2"/>
          <w:sz w:val="24"/>
          <w:szCs w:val="24"/>
          <w:lang w:eastAsia="en-US"/>
        </w:rPr>
        <w:t xml:space="preserve">asociadas a las actividades misionales, </w:t>
      </w:r>
      <w:r>
        <w:rPr>
          <w:rFonts w:eastAsia="Calibri" w:asciiTheme="minorHAnsi" w:hAnsiTheme="minorHAnsi" w:cstheme="minorHAnsi"/>
          <w:color w:val="00B050"/>
          <w:kern w:val="2"/>
          <w:sz w:val="24"/>
          <w:szCs w:val="24"/>
          <w:lang w:eastAsia="en-US"/>
        </w:rPr>
        <w:t xml:space="preserve">el cual incluye salidas extramurales </w:t>
      </w:r>
      <w:r>
        <w:rPr>
          <w:rFonts w:eastAsia="Calibri" w:asciiTheme="minorHAnsi" w:hAnsiTheme="minorHAnsi" w:cstheme="minorHAnsi"/>
          <w:kern w:val="2"/>
          <w:sz w:val="24"/>
          <w:szCs w:val="24"/>
          <w:lang w:eastAsia="en-US"/>
        </w:rPr>
        <w:t>y</w:t>
      </w:r>
      <w:r>
        <w:rPr>
          <w:rFonts w:eastAsia="Calibri" w:asciiTheme="minorHAnsi" w:hAnsiTheme="minorHAnsi" w:cstheme="minorHAnsi"/>
          <w:color w:val="00B050"/>
          <w:kern w:val="2"/>
          <w:sz w:val="24"/>
          <w:szCs w:val="24"/>
          <w:lang w:eastAsia="en-US"/>
        </w:rPr>
        <w:t xml:space="preserve"> abarca, entre otros</w:t>
      </w:r>
      <w:r>
        <w:rPr>
          <w:rFonts w:eastAsia="Calibri" w:asciiTheme="minorHAnsi" w:hAnsiTheme="minorHAnsi" w:cstheme="minorHAnsi"/>
          <w:kern w:val="2"/>
          <w:sz w:val="24"/>
          <w:szCs w:val="24"/>
          <w:lang w:eastAsia="en-US"/>
        </w:rPr>
        <w:t>:</w:t>
      </w:r>
    </w:p>
    <w:p w14:paraId="44985D56">
      <w:pPr>
        <w:numPr>
          <w:ilvl w:val="0"/>
          <w:numId w:val="46"/>
        </w:numPr>
        <w:suppressAutoHyphens/>
        <w:spacing w:line="276" w:lineRule="auto"/>
        <w:ind w:left="540" w:hanging="540"/>
        <w:contextualSpacing/>
        <w:rPr>
          <w:rFonts w:eastAsia="Calibri" w:asciiTheme="minorHAnsi" w:hAnsiTheme="minorHAnsi" w:cstheme="minorHAnsi"/>
          <w:color w:val="00B050"/>
          <w:kern w:val="2"/>
          <w:sz w:val="24"/>
          <w:szCs w:val="24"/>
          <w:lang w:val="es-VE" w:eastAsia="en-US"/>
        </w:rPr>
      </w:pPr>
      <w:r>
        <w:rPr>
          <w:rFonts w:eastAsia="Calibri" w:asciiTheme="minorHAnsi" w:hAnsiTheme="minorHAnsi" w:cstheme="minorHAnsi"/>
          <w:color w:val="00B050"/>
          <w:kern w:val="2"/>
          <w:sz w:val="24"/>
          <w:szCs w:val="24"/>
          <w:lang w:val="es-VE" w:eastAsia="en-US"/>
        </w:rPr>
        <w:t>Identificación de riesgos en seguridad vial y del sistema seguro</w:t>
      </w:r>
    </w:p>
    <w:p w14:paraId="00542FDA">
      <w:pPr>
        <w:numPr>
          <w:ilvl w:val="0"/>
          <w:numId w:val="46"/>
        </w:numPr>
        <w:suppressAutoHyphens/>
        <w:spacing w:line="276" w:lineRule="auto"/>
        <w:ind w:left="540" w:hanging="540"/>
        <w:contextualSpacing/>
        <w:rPr>
          <w:rFonts w:eastAsia="Calibri" w:asciiTheme="minorHAnsi" w:hAnsiTheme="minorHAnsi" w:cstheme="minorHAnsi"/>
          <w:color w:val="00B050"/>
          <w:kern w:val="2"/>
          <w:sz w:val="24"/>
          <w:szCs w:val="24"/>
          <w:lang w:val="es-VE" w:eastAsia="en-US"/>
        </w:rPr>
      </w:pPr>
      <w:r>
        <w:rPr>
          <w:rFonts w:eastAsia="Calibri" w:asciiTheme="minorHAnsi" w:hAnsiTheme="minorHAnsi" w:cstheme="minorHAnsi"/>
          <w:color w:val="00B050"/>
          <w:kern w:val="2"/>
          <w:sz w:val="24"/>
          <w:szCs w:val="24"/>
          <w:lang w:val="es-VE" w:eastAsia="en-US"/>
        </w:rPr>
        <w:t>Identificación de puntos críticos de siniestralidad</w:t>
      </w:r>
    </w:p>
    <w:p w14:paraId="4D9D9A86">
      <w:pPr>
        <w:numPr>
          <w:ilvl w:val="0"/>
          <w:numId w:val="46"/>
        </w:numPr>
        <w:suppressAutoHyphens/>
        <w:spacing w:line="276" w:lineRule="auto"/>
        <w:ind w:left="540" w:hanging="540"/>
        <w:contextualSpacing/>
        <w:rPr>
          <w:rFonts w:eastAsia="Calibri" w:asciiTheme="minorHAnsi" w:hAnsiTheme="minorHAnsi" w:cstheme="minorHAnsi"/>
          <w:color w:val="00B050"/>
          <w:kern w:val="2"/>
          <w:sz w:val="24"/>
          <w:szCs w:val="24"/>
          <w:lang w:val="es-VE" w:eastAsia="en-US"/>
        </w:rPr>
      </w:pPr>
      <w:r>
        <w:rPr>
          <w:rFonts w:eastAsia="Calibri" w:asciiTheme="minorHAnsi" w:hAnsiTheme="minorHAnsi" w:cstheme="minorHAnsi"/>
          <w:color w:val="00B050"/>
          <w:kern w:val="2"/>
          <w:sz w:val="24"/>
          <w:szCs w:val="24"/>
          <w:lang w:val="es-VE" w:eastAsia="en-US"/>
        </w:rPr>
        <w:t xml:space="preserve">Riesgos en los sitios que utiliza la organización </w:t>
      </w:r>
    </w:p>
    <w:p w14:paraId="5C4F88E3">
      <w:pPr>
        <w:numPr>
          <w:ilvl w:val="0"/>
          <w:numId w:val="46"/>
        </w:numPr>
        <w:suppressAutoHyphens/>
        <w:spacing w:line="276" w:lineRule="auto"/>
        <w:ind w:left="540" w:hanging="540"/>
        <w:contextualSpacing/>
        <w:rPr>
          <w:rFonts w:eastAsia="Calibri" w:asciiTheme="minorHAnsi" w:hAnsiTheme="minorHAnsi" w:cstheme="minorHAnsi"/>
          <w:color w:val="00B050"/>
          <w:kern w:val="2"/>
          <w:sz w:val="24"/>
          <w:szCs w:val="24"/>
          <w:lang w:val="es-VE" w:eastAsia="en-US"/>
        </w:rPr>
      </w:pPr>
      <w:r>
        <w:rPr>
          <w:rFonts w:eastAsia="Calibri" w:asciiTheme="minorHAnsi" w:hAnsiTheme="minorHAnsi" w:cstheme="minorHAnsi"/>
          <w:color w:val="00B050"/>
          <w:kern w:val="2"/>
          <w:sz w:val="24"/>
          <w:szCs w:val="24"/>
          <w:lang w:val="es-VE" w:eastAsia="en-US"/>
        </w:rPr>
        <w:t xml:space="preserve">Requisitos para realizar los desplazamientos </w:t>
      </w:r>
    </w:p>
    <w:p w14:paraId="7B1FCFAF">
      <w:pPr>
        <w:numPr>
          <w:ilvl w:val="0"/>
          <w:numId w:val="46"/>
        </w:numPr>
        <w:suppressAutoHyphens/>
        <w:spacing w:line="276" w:lineRule="auto"/>
        <w:ind w:left="540" w:hanging="540"/>
        <w:contextualSpacing/>
        <w:rPr>
          <w:rFonts w:eastAsia="Calibri" w:asciiTheme="minorHAnsi" w:hAnsiTheme="minorHAnsi" w:cstheme="minorHAnsi"/>
          <w:color w:val="00B050"/>
          <w:kern w:val="2"/>
          <w:sz w:val="24"/>
          <w:szCs w:val="24"/>
          <w:lang w:val="es-VE" w:eastAsia="en-US"/>
        </w:rPr>
      </w:pPr>
      <w:r>
        <w:rPr>
          <w:rFonts w:eastAsia="Calibri" w:asciiTheme="minorHAnsi" w:hAnsiTheme="minorHAnsi" w:cstheme="minorHAnsi"/>
          <w:color w:val="00B050"/>
          <w:kern w:val="2"/>
          <w:sz w:val="24"/>
          <w:szCs w:val="24"/>
          <w:lang w:val="es-VE" w:eastAsia="en-US"/>
        </w:rPr>
        <w:t>Condiciones para prevenir factores de riesgo</w:t>
      </w:r>
    </w:p>
    <w:p w14:paraId="063AA74E">
      <w:pPr>
        <w:numPr>
          <w:ilvl w:val="0"/>
          <w:numId w:val="46"/>
        </w:numPr>
        <w:suppressAutoHyphens/>
        <w:spacing w:line="276" w:lineRule="auto"/>
        <w:ind w:left="540" w:hanging="540"/>
        <w:contextualSpacing/>
        <w:rPr>
          <w:rFonts w:eastAsia="Calibri" w:asciiTheme="minorHAnsi" w:hAnsiTheme="minorHAnsi" w:cstheme="minorHAnsi"/>
          <w:kern w:val="2"/>
          <w:sz w:val="24"/>
          <w:szCs w:val="24"/>
          <w:lang w:val="es-VE" w:eastAsia="en-US"/>
        </w:rPr>
      </w:pPr>
      <w:r>
        <w:rPr>
          <w:rFonts w:eastAsia="Calibri" w:asciiTheme="minorHAnsi" w:hAnsiTheme="minorHAnsi" w:cstheme="minorHAnsi"/>
          <w:kern w:val="2"/>
          <w:sz w:val="24"/>
          <w:szCs w:val="24"/>
          <w:lang w:eastAsia="en-US"/>
        </w:rPr>
        <w:t xml:space="preserve">Metodología para registrar la planeación de recorridos </w:t>
      </w:r>
    </w:p>
    <w:p w14:paraId="13310440">
      <w:pPr>
        <w:numPr>
          <w:ilvl w:val="0"/>
          <w:numId w:val="47"/>
        </w:numPr>
        <w:suppressAutoHyphens/>
        <w:spacing w:line="276" w:lineRule="auto"/>
        <w:ind w:left="540" w:hanging="540"/>
        <w:rPr>
          <w:rFonts w:eastAsia="Calibri" w:asciiTheme="minorHAnsi" w:hAnsiTheme="minorHAnsi" w:cstheme="minorHAnsi"/>
          <w:kern w:val="2"/>
          <w:sz w:val="24"/>
          <w:szCs w:val="24"/>
          <w:lang w:val="es-VE" w:eastAsia="en-US"/>
        </w:rPr>
      </w:pPr>
      <w:r>
        <w:rPr>
          <w:rFonts w:eastAsia="Calibri" w:asciiTheme="minorHAnsi" w:hAnsiTheme="minorHAnsi" w:cstheme="minorHAnsi"/>
          <w:kern w:val="2"/>
          <w:sz w:val="24"/>
          <w:szCs w:val="24"/>
          <w:lang w:eastAsia="en-US"/>
        </w:rPr>
        <w:t>Metodología de comunicación y aprobación de estos planes de recorridos</w:t>
      </w:r>
    </w:p>
    <w:p w14:paraId="5A7CC578">
      <w:pPr>
        <w:suppressAutoHyphens/>
        <w:spacing w:after="200" w:line="276" w:lineRule="auto"/>
        <w:ind w:left="540"/>
        <w:rPr>
          <w:rFonts w:eastAsia="Calibri" w:asciiTheme="minorHAnsi" w:hAnsiTheme="minorHAnsi" w:cstheme="minorHAnsi"/>
          <w:kern w:val="2"/>
          <w:sz w:val="24"/>
          <w:szCs w:val="24"/>
          <w:lang w:val="es-VE" w:eastAsia="en-US"/>
        </w:rPr>
      </w:pPr>
    </w:p>
    <w:p w14:paraId="7FB06B99">
      <w:pPr>
        <w:pStyle w:val="4"/>
        <w:numPr>
          <w:ilvl w:val="2"/>
          <w:numId w:val="48"/>
        </w:numPr>
        <w:spacing w:before="0"/>
        <w:rPr>
          <w:rFonts w:asciiTheme="minorHAnsi" w:hAnsiTheme="minorHAnsi" w:cstheme="minorHAnsi"/>
          <w:sz w:val="24"/>
          <w:szCs w:val="24"/>
        </w:rPr>
      </w:pPr>
      <w:commentRangeStart w:id="21"/>
      <w:bookmarkStart w:id="137" w:name="_Toc519172547"/>
      <w:bookmarkStart w:id="138" w:name="_Toc485297498"/>
      <w:bookmarkStart w:id="139" w:name="_Toc188966810"/>
      <w:r>
        <w:rPr>
          <w:rFonts w:asciiTheme="minorHAnsi" w:hAnsiTheme="minorHAnsi" w:cstheme="minorHAnsi"/>
          <w:sz w:val="24"/>
          <w:szCs w:val="24"/>
        </w:rPr>
        <w:t>POLÍTICAS DE SOCIALIZACIÓN Y ACTUALIZACIÓN DE INFORMACIÓN</w:t>
      </w:r>
      <w:bookmarkEnd w:id="137"/>
      <w:bookmarkEnd w:id="138"/>
      <w:commentRangeEnd w:id="21"/>
      <w:r>
        <w:rPr>
          <w:rFonts w:asciiTheme="minorHAnsi" w:hAnsiTheme="minorHAnsi" w:cstheme="minorHAnsi"/>
          <w:sz w:val="24"/>
          <w:szCs w:val="24"/>
        </w:rPr>
        <w:commentReference w:id="21"/>
      </w:r>
      <w:bookmarkEnd w:id="139"/>
    </w:p>
    <w:p w14:paraId="2E1CD913">
      <w:pPr>
        <w:spacing w:line="276" w:lineRule="auto"/>
        <w:rPr>
          <w:rFonts w:eastAsia="Calibri" w:asciiTheme="minorHAnsi" w:hAnsiTheme="minorHAnsi" w:cstheme="minorHAnsi"/>
          <w:sz w:val="24"/>
          <w:szCs w:val="24"/>
        </w:rPr>
      </w:pPr>
    </w:p>
    <w:p w14:paraId="23C0778F">
      <w:pPr>
        <w:suppressAutoHyphens/>
        <w:spacing w:after="200" w:line="276" w:lineRule="auto"/>
        <w:rPr>
          <w:rFonts w:eastAsia="Calibri" w:asciiTheme="minorHAnsi" w:hAnsiTheme="minorHAnsi" w:cstheme="minorHAnsi"/>
          <w:kern w:val="2"/>
          <w:sz w:val="24"/>
          <w:szCs w:val="24"/>
          <w:lang w:val="es-VE" w:eastAsia="en-US"/>
        </w:rPr>
      </w:pPr>
      <w:r>
        <w:rPr>
          <w:rFonts w:eastAsia="Calibri" w:asciiTheme="minorHAnsi" w:hAnsiTheme="minorHAnsi" w:cstheme="minorHAnsi"/>
          <w:kern w:val="2"/>
          <w:sz w:val="24"/>
          <w:szCs w:val="24"/>
          <w:lang w:eastAsia="en-US"/>
        </w:rPr>
        <w:t>Las novedades de peligros en vías, ya sean por accidentes, estado del clima, problemas de orden público, campañas de sensibilización, tips de seguridad e información serán divulgadas mediante los diferentes canales de comunicación que cuenta la institución.</w:t>
      </w:r>
    </w:p>
    <w:p w14:paraId="29B771A2">
      <w:pPr>
        <w:numPr>
          <w:ilvl w:val="0"/>
          <w:numId w:val="49"/>
        </w:numPr>
        <w:suppressAutoHyphens/>
        <w:spacing w:line="276" w:lineRule="auto"/>
        <w:ind w:left="540" w:hanging="540"/>
        <w:rPr>
          <w:rFonts w:eastAsia="Calibri" w:asciiTheme="minorHAnsi" w:hAnsiTheme="minorHAnsi" w:cstheme="minorHAnsi"/>
          <w:kern w:val="2"/>
          <w:sz w:val="24"/>
          <w:szCs w:val="24"/>
          <w:lang w:val="es-VE" w:eastAsia="en-US"/>
        </w:rPr>
      </w:pPr>
      <w:r>
        <w:rPr>
          <w:rFonts w:eastAsia="Calibri" w:asciiTheme="minorHAnsi" w:hAnsiTheme="minorHAnsi" w:cstheme="minorHAnsi"/>
          <w:kern w:val="2"/>
          <w:sz w:val="24"/>
          <w:szCs w:val="24"/>
          <w:lang w:eastAsia="en-US"/>
        </w:rPr>
        <w:t>Correos institucionales</w:t>
      </w:r>
    </w:p>
    <w:p w14:paraId="7D8F0EAB">
      <w:pPr>
        <w:numPr>
          <w:ilvl w:val="0"/>
          <w:numId w:val="49"/>
        </w:numPr>
        <w:suppressAutoHyphens/>
        <w:spacing w:line="276" w:lineRule="auto"/>
        <w:ind w:left="540" w:hanging="540"/>
        <w:rPr>
          <w:rFonts w:eastAsia="Calibri" w:asciiTheme="minorHAnsi" w:hAnsiTheme="minorHAnsi" w:cstheme="minorHAnsi"/>
          <w:kern w:val="2"/>
          <w:sz w:val="24"/>
          <w:szCs w:val="24"/>
          <w:lang w:val="es-VE" w:eastAsia="en-US"/>
        </w:rPr>
      </w:pPr>
      <w:r>
        <w:rPr>
          <w:rFonts w:eastAsia="Calibri" w:asciiTheme="minorHAnsi" w:hAnsiTheme="minorHAnsi" w:cstheme="minorHAnsi"/>
          <w:kern w:val="2"/>
          <w:sz w:val="24"/>
          <w:szCs w:val="24"/>
          <w:lang w:val="es-VE" w:eastAsia="en-US"/>
        </w:rPr>
        <w:t>Intranet</w:t>
      </w:r>
    </w:p>
    <w:p w14:paraId="7432A683">
      <w:pPr>
        <w:numPr>
          <w:ilvl w:val="0"/>
          <w:numId w:val="49"/>
        </w:numPr>
        <w:suppressAutoHyphens/>
        <w:spacing w:line="276" w:lineRule="auto"/>
        <w:ind w:left="540" w:hanging="540"/>
        <w:rPr>
          <w:rFonts w:eastAsia="Calibri" w:asciiTheme="minorHAnsi" w:hAnsiTheme="minorHAnsi" w:cstheme="minorHAnsi"/>
          <w:kern w:val="2"/>
          <w:sz w:val="24"/>
          <w:szCs w:val="24"/>
          <w:lang w:val="es-VE" w:eastAsia="en-US"/>
        </w:rPr>
      </w:pPr>
      <w:r>
        <w:rPr>
          <w:rFonts w:eastAsia="Calibri" w:asciiTheme="minorHAnsi" w:hAnsiTheme="minorHAnsi" w:cstheme="minorHAnsi"/>
          <w:kern w:val="2"/>
          <w:sz w:val="24"/>
          <w:szCs w:val="24"/>
          <w:lang w:eastAsia="en-US"/>
        </w:rPr>
        <w:t xml:space="preserve">Carteleras </w:t>
      </w:r>
    </w:p>
    <w:p w14:paraId="562ADB1C">
      <w:pPr>
        <w:numPr>
          <w:ilvl w:val="0"/>
          <w:numId w:val="49"/>
        </w:numPr>
        <w:suppressAutoHyphens/>
        <w:spacing w:line="276" w:lineRule="auto"/>
        <w:ind w:left="540" w:hanging="540"/>
        <w:rPr>
          <w:rFonts w:eastAsia="Calibri" w:asciiTheme="minorHAnsi" w:hAnsiTheme="minorHAnsi" w:cstheme="minorHAnsi"/>
          <w:kern w:val="2"/>
          <w:sz w:val="24"/>
          <w:szCs w:val="24"/>
          <w:lang w:val="es-VE" w:eastAsia="en-US"/>
        </w:rPr>
      </w:pPr>
      <w:r>
        <w:rPr>
          <w:rFonts w:eastAsia="Calibri" w:asciiTheme="minorHAnsi" w:hAnsiTheme="minorHAnsi" w:cstheme="minorHAnsi"/>
          <w:kern w:val="2"/>
          <w:sz w:val="24"/>
          <w:szCs w:val="24"/>
          <w:lang w:eastAsia="en-US"/>
        </w:rPr>
        <w:t>Charlas de inducción y re-inducción</w:t>
      </w:r>
    </w:p>
    <w:p w14:paraId="4524B430">
      <w:pPr>
        <w:numPr>
          <w:ilvl w:val="0"/>
          <w:numId w:val="49"/>
        </w:numPr>
        <w:suppressAutoHyphens/>
        <w:spacing w:line="276" w:lineRule="auto"/>
        <w:ind w:left="540" w:hanging="540"/>
        <w:rPr>
          <w:rFonts w:eastAsia="Calibri" w:asciiTheme="minorHAnsi" w:hAnsiTheme="minorHAnsi" w:cstheme="minorHAnsi"/>
          <w:kern w:val="2"/>
          <w:sz w:val="24"/>
          <w:szCs w:val="24"/>
          <w:lang w:val="es-VE" w:eastAsia="en-US"/>
        </w:rPr>
      </w:pPr>
      <w:r>
        <w:rPr>
          <w:rFonts w:eastAsia="Calibri" w:asciiTheme="minorHAnsi" w:hAnsiTheme="minorHAnsi" w:cstheme="minorHAnsi"/>
          <w:kern w:val="2"/>
          <w:sz w:val="24"/>
          <w:szCs w:val="24"/>
          <w:lang w:eastAsia="en-US"/>
        </w:rPr>
        <w:t>Capacitaciones</w:t>
      </w:r>
    </w:p>
    <w:p w14:paraId="2C21684F">
      <w:pPr>
        <w:suppressAutoHyphens/>
        <w:spacing w:line="276" w:lineRule="auto"/>
        <w:ind w:left="720"/>
        <w:rPr>
          <w:rFonts w:eastAsia="Calibri" w:asciiTheme="minorHAnsi" w:hAnsiTheme="minorHAnsi" w:cstheme="minorHAnsi"/>
          <w:kern w:val="2"/>
          <w:sz w:val="24"/>
          <w:szCs w:val="24"/>
          <w:lang w:val="es-VE" w:eastAsia="en-US"/>
        </w:rPr>
      </w:pPr>
    </w:p>
    <w:p w14:paraId="18AB747F">
      <w:pPr>
        <w:suppressAutoHyphens/>
        <w:spacing w:line="276" w:lineRule="auto"/>
        <w:rPr>
          <w:rFonts w:eastAsia="Calibri" w:asciiTheme="minorHAnsi" w:hAnsiTheme="minorHAnsi" w:cstheme="minorHAnsi"/>
          <w:kern w:val="2"/>
          <w:sz w:val="24"/>
          <w:szCs w:val="24"/>
          <w:lang w:eastAsia="en-US"/>
        </w:rPr>
      </w:pPr>
      <w:r>
        <w:rPr>
          <w:rFonts w:eastAsia="Calibri" w:asciiTheme="minorHAnsi" w:hAnsiTheme="minorHAnsi" w:cstheme="minorHAnsi"/>
          <w:kern w:val="2"/>
          <w:sz w:val="24"/>
          <w:szCs w:val="24"/>
          <w:lang w:eastAsia="en-US"/>
        </w:rPr>
        <w:t>Adicionalmente la institución dispone del procedimiento para socializar información a sus funcionarios y partes interesadas. Se encuentran en formato GC-I-005 Instructivo de comunicación interna.</w:t>
      </w:r>
    </w:p>
    <w:p w14:paraId="5AB3CE8B">
      <w:pPr>
        <w:spacing w:line="276" w:lineRule="auto"/>
        <w:rPr>
          <w:rFonts w:asciiTheme="minorHAnsi" w:hAnsiTheme="minorHAnsi" w:cstheme="minorHAnsi"/>
          <w:bCs/>
          <w:sz w:val="24"/>
          <w:szCs w:val="24"/>
        </w:rPr>
      </w:pPr>
    </w:p>
    <w:p w14:paraId="4022B5FC">
      <w:pPr>
        <w:spacing w:line="276" w:lineRule="auto"/>
        <w:rPr>
          <w:rFonts w:asciiTheme="minorHAnsi" w:hAnsiTheme="minorHAnsi" w:cstheme="minorHAnsi"/>
          <w:bCs/>
          <w:sz w:val="24"/>
          <w:szCs w:val="24"/>
        </w:rPr>
      </w:pPr>
    </w:p>
    <w:p w14:paraId="575A166C">
      <w:pPr>
        <w:pStyle w:val="3"/>
        <w:numPr>
          <w:ilvl w:val="1"/>
          <w:numId w:val="4"/>
        </w:numPr>
        <w:spacing w:after="0" w:line="276" w:lineRule="auto"/>
        <w:ind w:left="540" w:hanging="540"/>
        <w:rPr>
          <w:rFonts w:asciiTheme="minorHAnsi" w:hAnsiTheme="minorHAnsi" w:cstheme="minorHAnsi"/>
          <w:color w:val="auto"/>
          <w:sz w:val="24"/>
        </w:rPr>
      </w:pPr>
      <w:bookmarkStart w:id="140" w:name="_Toc188966811"/>
      <w:r>
        <w:rPr>
          <w:rFonts w:asciiTheme="minorHAnsi" w:hAnsiTheme="minorHAnsi" w:cstheme="minorHAnsi"/>
          <w:color w:val="auto"/>
          <w:sz w:val="24"/>
        </w:rPr>
        <w:t>INSPECCIÓN DE VEHÍCULOS Y EQUIPOS</w:t>
      </w:r>
      <w:bookmarkEnd w:id="140"/>
    </w:p>
    <w:p w14:paraId="111D0822">
      <w:pPr>
        <w:spacing w:line="276" w:lineRule="auto"/>
        <w:rPr>
          <w:rFonts w:asciiTheme="minorHAnsi" w:hAnsiTheme="minorHAnsi" w:cstheme="minorHAnsi"/>
          <w:color w:val="00B050"/>
          <w:sz w:val="24"/>
          <w:szCs w:val="24"/>
        </w:rPr>
      </w:pPr>
      <w:r>
        <w:rPr>
          <w:rFonts w:asciiTheme="minorHAnsi" w:hAnsiTheme="minorHAnsi" w:cstheme="minorHAnsi"/>
          <w:color w:val="00B050"/>
          <w:sz w:val="24"/>
          <w:szCs w:val="24"/>
        </w:rPr>
        <w:t xml:space="preserve">Se establece dentro del </w:t>
      </w:r>
      <w:commentRangeStart w:id="22"/>
      <w:r>
        <w:rPr>
          <w:rFonts w:asciiTheme="minorHAnsi" w:hAnsiTheme="minorHAnsi" w:cstheme="minorHAnsi"/>
          <w:color w:val="00B050"/>
          <w:sz w:val="24"/>
          <w:szCs w:val="24"/>
        </w:rPr>
        <w:t>programa de inspecciones del SGSST los parámetros a aplicar en la inspección preoperacional diaria de vehículos automotores y no automotores que se utilizan para desplazamientos laborales al servicio de la organización, los cuales serán aplicados en los formatos previamente establecidos y dan alcance a vehículos propios del SENA, propiedad de los trabajadores para desplazamientos laborales. Las inspecciones de vehículos contratistas y/o terceros podrán ser los establecidos por dichas empresas y validados en cualquier momento por el SENA.</w:t>
      </w:r>
      <w:commentRangeEnd w:id="22"/>
      <w:r>
        <w:rPr>
          <w:rStyle w:val="13"/>
          <w:rFonts w:eastAsia="Calibri" w:cs="Times New Roman"/>
          <w:lang w:eastAsia="en-US"/>
        </w:rPr>
        <w:commentReference w:id="22"/>
      </w:r>
    </w:p>
    <w:p w14:paraId="1A28FD5B">
      <w:pPr>
        <w:spacing w:line="276" w:lineRule="auto"/>
        <w:rPr>
          <w:rFonts w:asciiTheme="minorHAnsi" w:hAnsiTheme="minorHAnsi" w:cstheme="minorHAnsi"/>
          <w:b/>
          <w:sz w:val="24"/>
          <w:szCs w:val="24"/>
        </w:rPr>
      </w:pPr>
    </w:p>
    <w:p w14:paraId="5C4F19ED">
      <w:pPr>
        <w:spacing w:line="276" w:lineRule="auto"/>
        <w:rPr>
          <w:rFonts w:asciiTheme="minorHAnsi" w:hAnsiTheme="minorHAnsi" w:cstheme="minorHAnsi"/>
          <w:sz w:val="24"/>
          <w:szCs w:val="24"/>
        </w:rPr>
      </w:pPr>
      <w:bookmarkStart w:id="141" w:name="_Toc499215503"/>
      <w:r>
        <w:rPr>
          <w:rFonts w:asciiTheme="minorHAnsi" w:hAnsiTheme="minorHAnsi" w:cstheme="minorHAnsi"/>
          <w:sz w:val="24"/>
          <w:szCs w:val="24"/>
        </w:rPr>
        <w:t xml:space="preserve">Es el chequeo o inspección visual general de vehículos </w:t>
      </w:r>
      <w:r>
        <w:rPr>
          <w:rFonts w:asciiTheme="minorHAnsi" w:hAnsiTheme="minorHAnsi" w:cstheme="minorHAnsi"/>
          <w:color w:val="00B050"/>
          <w:sz w:val="24"/>
          <w:szCs w:val="24"/>
        </w:rPr>
        <w:t>del SENA</w:t>
      </w:r>
      <w:r>
        <w:rPr>
          <w:rFonts w:asciiTheme="minorHAnsi" w:hAnsiTheme="minorHAnsi" w:cstheme="minorHAnsi"/>
          <w:sz w:val="24"/>
          <w:szCs w:val="24"/>
        </w:rPr>
        <w:t>, se deberá registrar en los formatos que se encuentran establecidos en la guía del parque automotor GIL-F-007 por parte del conductor designado al vehículo, y mediante los formatos establecidos de acuerdo al tipo de vehículo, una (1</w:t>
      </w:r>
      <w:commentRangeStart w:id="23"/>
      <w:r>
        <w:rPr>
          <w:rFonts w:asciiTheme="minorHAnsi" w:hAnsiTheme="minorHAnsi" w:cstheme="minorHAnsi"/>
          <w:sz w:val="24"/>
          <w:szCs w:val="24"/>
          <w:highlight w:val="yellow"/>
        </w:rPr>
        <w:t>) vez de forma semanal o quincenal</w:t>
      </w:r>
      <w:r>
        <w:rPr>
          <w:rFonts w:asciiTheme="minorHAnsi" w:hAnsiTheme="minorHAnsi" w:cstheme="minorHAnsi"/>
          <w:sz w:val="24"/>
          <w:szCs w:val="24"/>
        </w:rPr>
        <w:t xml:space="preserve"> </w:t>
      </w:r>
      <w:commentRangeEnd w:id="23"/>
      <w:r>
        <w:rPr>
          <w:rStyle w:val="13"/>
          <w:rFonts w:eastAsia="Calibri" w:cs="Times New Roman"/>
          <w:lang w:eastAsia="en-US"/>
        </w:rPr>
        <w:commentReference w:id="23"/>
      </w:r>
      <w:r>
        <w:rPr>
          <w:rFonts w:asciiTheme="minorHAnsi" w:hAnsiTheme="minorHAnsi" w:cstheme="minorHAnsi"/>
          <w:sz w:val="24"/>
          <w:szCs w:val="24"/>
        </w:rPr>
        <w:t>(Definido por el comité regional de seguridad vial CRSV) con el fin de identificar posibles fallas o mal funcionamiento de piezas o conjuntos. Esto incluye verificar entre otros, los niveles de aceite del motor, nivel de agua del radiador, inspección de las partes visibles de la instalación eléctrica del motor, verificación de la tensión y estado general de las correas del motor; se debe verificar uniones cardánicas, funcionamiento de pito, frenos, luces, entre otros.</w:t>
      </w:r>
      <w:bookmarkEnd w:id="141"/>
    </w:p>
    <w:p w14:paraId="3C45ABEE">
      <w:pPr>
        <w:spacing w:line="276" w:lineRule="auto"/>
        <w:rPr>
          <w:rFonts w:asciiTheme="minorHAnsi" w:hAnsiTheme="minorHAnsi" w:cstheme="minorHAnsi"/>
          <w:sz w:val="24"/>
          <w:szCs w:val="24"/>
        </w:rPr>
      </w:pPr>
    </w:p>
    <w:p w14:paraId="1C02285A">
      <w:pPr>
        <w:spacing w:line="276" w:lineRule="auto"/>
        <w:rPr>
          <w:rFonts w:asciiTheme="minorHAnsi" w:hAnsiTheme="minorHAnsi" w:cstheme="minorHAnsi"/>
          <w:sz w:val="24"/>
          <w:szCs w:val="24"/>
        </w:rPr>
      </w:pPr>
      <w:r>
        <w:rPr>
          <w:rFonts w:asciiTheme="minorHAnsi" w:hAnsiTheme="minorHAnsi" w:cstheme="minorHAnsi"/>
          <w:sz w:val="24"/>
          <w:szCs w:val="24"/>
        </w:rPr>
        <w:t>El conductor deberá diligenciar el formato de pre operacional aplicable según el tipo de vehículo y entregar mensualmente al Coordinador de Servicios Generales y Adquisiciones a los Coordinadores de Grupos de Apoyo Administrativo Mixto de las Regionales, Centros de Formación, Sedes y/o Subsedes. Adicionalmente deberá diligenciarse otro formato en caso que el vehículo sea objeto de inventario, traslado entre regionales, o usado para la comisión de servicio.</w:t>
      </w:r>
    </w:p>
    <w:p w14:paraId="19D2CBCE">
      <w:pPr>
        <w:spacing w:line="276" w:lineRule="auto"/>
        <w:rPr>
          <w:rFonts w:asciiTheme="minorHAnsi" w:hAnsiTheme="minorHAnsi" w:cstheme="minorHAnsi"/>
          <w:sz w:val="24"/>
          <w:szCs w:val="24"/>
        </w:rPr>
      </w:pPr>
    </w:p>
    <w:p w14:paraId="46E15FC6">
      <w:pPr>
        <w:spacing w:line="276" w:lineRule="auto"/>
        <w:rPr>
          <w:rFonts w:asciiTheme="minorHAnsi" w:hAnsiTheme="minorHAnsi" w:cstheme="minorHAnsi"/>
          <w:sz w:val="24"/>
          <w:szCs w:val="24"/>
        </w:rPr>
      </w:pPr>
      <w:r>
        <w:rPr>
          <w:rFonts w:asciiTheme="minorHAnsi" w:hAnsiTheme="minorHAnsi" w:cstheme="minorHAnsi"/>
          <w:sz w:val="24"/>
          <w:szCs w:val="24"/>
        </w:rPr>
        <w:t xml:space="preserve">Trimestralmente y programado junto con las inspecciones planeadas que se deben realizar por parte del Grupo SST en las regionales, deberá seleccionarse una muestra de la cantidad de vehículos que posee la regional y adelantar una revisión, esta debe adelantarse con el personal citado para tal fin (Copasst, ambiental, seguridad y salud, etc.). </w:t>
      </w:r>
    </w:p>
    <w:p w14:paraId="7EF0A811">
      <w:pPr>
        <w:spacing w:line="276" w:lineRule="auto"/>
        <w:rPr>
          <w:rFonts w:asciiTheme="minorHAnsi" w:hAnsiTheme="minorHAnsi" w:cstheme="minorHAnsi"/>
          <w:bCs/>
          <w:sz w:val="24"/>
          <w:szCs w:val="24"/>
        </w:rPr>
      </w:pPr>
    </w:p>
    <w:p w14:paraId="2FCD58F6">
      <w:pPr>
        <w:pStyle w:val="3"/>
        <w:numPr>
          <w:ilvl w:val="1"/>
          <w:numId w:val="4"/>
        </w:numPr>
        <w:spacing w:after="0" w:line="276" w:lineRule="auto"/>
        <w:ind w:left="540" w:hanging="540"/>
        <w:rPr>
          <w:rFonts w:asciiTheme="minorHAnsi" w:hAnsiTheme="minorHAnsi" w:cstheme="minorHAnsi"/>
          <w:color w:val="auto"/>
          <w:sz w:val="24"/>
        </w:rPr>
      </w:pPr>
      <w:bookmarkStart w:id="142" w:name="_Toc188966812"/>
      <w:r>
        <w:rPr>
          <w:rFonts w:asciiTheme="minorHAnsi" w:hAnsiTheme="minorHAnsi" w:cstheme="minorHAnsi"/>
          <w:color w:val="auto"/>
          <w:sz w:val="24"/>
        </w:rPr>
        <w:t>MANTENIMIENTO Y CONTROL DE VEHÍCULOS SEGUROS Y EQUIPOS</w:t>
      </w:r>
      <w:bookmarkEnd w:id="142"/>
    </w:p>
    <w:p w14:paraId="1C41B915">
      <w:pPr>
        <w:spacing w:line="276" w:lineRule="auto"/>
        <w:rPr>
          <w:rFonts w:asciiTheme="minorHAnsi" w:hAnsiTheme="minorHAnsi" w:cstheme="minorHAnsi"/>
          <w:b/>
          <w:sz w:val="24"/>
          <w:szCs w:val="24"/>
        </w:rPr>
      </w:pPr>
      <w:r>
        <w:rPr>
          <w:rFonts w:asciiTheme="minorHAnsi" w:hAnsiTheme="minorHAnsi" w:cstheme="minorHAnsi"/>
          <w:color w:val="00B050"/>
          <w:sz w:val="24"/>
          <w:szCs w:val="24"/>
        </w:rPr>
        <w:t xml:space="preserve">En cumplimiento de lo dispuesto en la Resolución 40595 de 2022, se debe llevar un plan de mantenimiento de vehículos y equipos que realizan desplazamientos laborales al servicio de la organización, el cual ha sido establecido e implementado por la organización y es verificado de manera periódica por </w:t>
      </w:r>
      <w:r>
        <w:rPr>
          <w:rFonts w:asciiTheme="minorHAnsi" w:hAnsiTheme="minorHAnsi" w:cstheme="minorHAnsi"/>
          <w:color w:val="000000"/>
          <w:sz w:val="24"/>
          <w:szCs w:val="24"/>
        </w:rPr>
        <w:t xml:space="preserve">los responsables de la administración de los vehículos en cada Regional, Centro, Sede o Subsede, </w:t>
      </w:r>
      <w:commentRangeStart w:id="24"/>
      <w:r>
        <w:rPr>
          <w:rFonts w:asciiTheme="minorHAnsi" w:hAnsiTheme="minorHAnsi" w:cstheme="minorHAnsi"/>
          <w:color w:val="000000"/>
          <w:sz w:val="24"/>
          <w:szCs w:val="24"/>
        </w:rPr>
        <w:t xml:space="preserve">en caso de vehículos contratistas se controla a traves de </w:t>
      </w:r>
      <w:r>
        <w:rPr>
          <w:rFonts w:asciiTheme="minorHAnsi" w:hAnsiTheme="minorHAnsi" w:cstheme="minorHAnsi"/>
          <w:color w:val="000000"/>
          <w:sz w:val="24"/>
          <w:szCs w:val="24"/>
          <w:highlight w:val="yellow"/>
        </w:rPr>
        <w:t>xxx</w:t>
      </w:r>
      <w:r>
        <w:rPr>
          <w:rFonts w:asciiTheme="minorHAnsi" w:hAnsiTheme="minorHAnsi" w:cstheme="minorHAnsi"/>
          <w:color w:val="000000"/>
          <w:sz w:val="24"/>
          <w:szCs w:val="24"/>
        </w:rPr>
        <w:t xml:space="preserve"> y los vehículos propiedad de trabajadores x</w:t>
      </w:r>
      <w:r>
        <w:rPr>
          <w:rFonts w:asciiTheme="minorHAnsi" w:hAnsiTheme="minorHAnsi" w:cstheme="minorHAnsi"/>
          <w:color w:val="000000"/>
          <w:sz w:val="24"/>
          <w:szCs w:val="24"/>
          <w:highlight w:val="yellow"/>
        </w:rPr>
        <w:t>xx.</w:t>
      </w:r>
      <w:r>
        <w:rPr>
          <w:rFonts w:asciiTheme="minorHAnsi" w:hAnsiTheme="minorHAnsi" w:cstheme="minorHAnsi"/>
          <w:b/>
          <w:sz w:val="24"/>
          <w:szCs w:val="24"/>
        </w:rPr>
        <w:t xml:space="preserve"> </w:t>
      </w:r>
      <w:commentRangeEnd w:id="24"/>
      <w:r>
        <w:rPr>
          <w:rStyle w:val="13"/>
          <w:rFonts w:eastAsia="Calibri" w:cs="Times New Roman"/>
          <w:lang w:eastAsia="en-US"/>
        </w:rPr>
        <w:commentReference w:id="24"/>
      </w:r>
    </w:p>
    <w:p w14:paraId="5CC33E7F">
      <w:pPr>
        <w:spacing w:line="276" w:lineRule="auto"/>
        <w:rPr>
          <w:rFonts w:asciiTheme="minorHAnsi" w:hAnsiTheme="minorHAnsi" w:cstheme="minorHAnsi"/>
          <w:b/>
          <w:sz w:val="24"/>
          <w:szCs w:val="24"/>
        </w:rPr>
      </w:pPr>
    </w:p>
    <w:p w14:paraId="48A64896">
      <w:pPr>
        <w:pStyle w:val="4"/>
        <w:numPr>
          <w:ilvl w:val="2"/>
          <w:numId w:val="50"/>
        </w:numPr>
        <w:spacing w:before="0"/>
        <w:rPr>
          <w:rFonts w:asciiTheme="minorHAnsi" w:hAnsiTheme="minorHAnsi" w:cstheme="minorHAnsi"/>
          <w:sz w:val="24"/>
          <w:szCs w:val="24"/>
        </w:rPr>
      </w:pPr>
      <w:bookmarkStart w:id="143" w:name="_Toc519172538"/>
      <w:bookmarkStart w:id="144" w:name="_Toc188966813"/>
      <w:r>
        <w:rPr>
          <w:rFonts w:asciiTheme="minorHAnsi" w:hAnsiTheme="minorHAnsi" w:cstheme="minorHAnsi"/>
          <w:sz w:val="24"/>
          <w:szCs w:val="24"/>
        </w:rPr>
        <w:t>PROCEDIMIENTOS PARA USO DE VEHÍCULOS</w:t>
      </w:r>
      <w:bookmarkEnd w:id="143"/>
      <w:r>
        <w:rPr>
          <w:rFonts w:asciiTheme="minorHAnsi" w:hAnsiTheme="minorHAnsi" w:cstheme="minorHAnsi"/>
          <w:sz w:val="24"/>
          <w:szCs w:val="24"/>
        </w:rPr>
        <w:t xml:space="preserve"> SENA</w:t>
      </w:r>
      <w:bookmarkEnd w:id="144"/>
    </w:p>
    <w:p w14:paraId="2E3B6C73">
      <w:pPr>
        <w:spacing w:line="276" w:lineRule="auto"/>
        <w:rPr>
          <w:rFonts w:eastAsia="Calibri" w:asciiTheme="minorHAnsi" w:hAnsiTheme="minorHAnsi" w:cstheme="minorHAnsi"/>
          <w:sz w:val="24"/>
          <w:szCs w:val="24"/>
        </w:rPr>
      </w:pPr>
    </w:p>
    <w:p w14:paraId="38BC35F8">
      <w:pPr>
        <w:spacing w:line="276" w:lineRule="auto"/>
        <w:rPr>
          <w:rFonts w:asciiTheme="minorHAnsi" w:hAnsiTheme="minorHAnsi" w:cstheme="minorHAnsi"/>
          <w:sz w:val="24"/>
          <w:szCs w:val="24"/>
        </w:rPr>
      </w:pPr>
      <w:r>
        <w:rPr>
          <w:rFonts w:eastAsia="Calibri" w:asciiTheme="minorHAnsi" w:hAnsiTheme="minorHAnsi" w:cstheme="minorHAnsi"/>
          <w:kern w:val="2"/>
          <w:sz w:val="24"/>
          <w:szCs w:val="24"/>
          <w:lang w:eastAsia="en-US"/>
        </w:rPr>
        <w:t>El SENA</w:t>
      </w:r>
      <w:r>
        <w:rPr>
          <w:rFonts w:asciiTheme="minorHAnsi" w:hAnsiTheme="minorHAnsi" w:cstheme="minorHAnsi"/>
          <w:kern w:val="2"/>
          <w:sz w:val="24"/>
          <w:szCs w:val="24"/>
        </w:rPr>
        <w:t xml:space="preserve">, garantizará la estandarización del uso adecuado de los vehículos, mediante los lineamientos definidos en la Guía de administración del parque automotor </w:t>
      </w:r>
      <w:commentRangeStart w:id="25"/>
      <w:r>
        <w:rPr>
          <w:rFonts w:asciiTheme="minorHAnsi" w:hAnsiTheme="minorHAnsi" w:cstheme="minorHAnsi"/>
          <w:kern w:val="2"/>
          <w:sz w:val="24"/>
          <w:szCs w:val="24"/>
        </w:rPr>
        <w:t>GIL-G-007,</w:t>
      </w:r>
      <w:r>
        <w:rPr>
          <w:rFonts w:asciiTheme="minorHAnsi" w:hAnsiTheme="minorHAnsi" w:cstheme="minorHAnsi"/>
          <w:sz w:val="24"/>
          <w:szCs w:val="24"/>
        </w:rPr>
        <w:t xml:space="preserve"> </w:t>
      </w:r>
      <w:commentRangeEnd w:id="25"/>
      <w:r>
        <w:rPr>
          <w:rStyle w:val="13"/>
          <w:rFonts w:eastAsia="Calibri" w:cs="Times New Roman"/>
          <w:lang w:eastAsia="en-US"/>
        </w:rPr>
        <w:commentReference w:id="25"/>
      </w:r>
      <w:r>
        <w:rPr>
          <w:rFonts w:asciiTheme="minorHAnsi" w:hAnsiTheme="minorHAnsi" w:cstheme="minorHAnsi"/>
          <w:kern w:val="2"/>
          <w:sz w:val="24"/>
          <w:szCs w:val="24"/>
        </w:rPr>
        <w:t xml:space="preserve">que </w:t>
      </w:r>
      <w:r>
        <w:rPr>
          <w:rFonts w:asciiTheme="minorHAnsi" w:hAnsiTheme="minorHAnsi" w:cstheme="minorHAnsi"/>
          <w:sz w:val="24"/>
          <w:szCs w:val="24"/>
        </w:rPr>
        <w:t>contiene los lineamientos para la adquisición, administración, asignación, uso y mantenimiento del parque automotor del SENA a nivel nacional, además de la definición de los lineamientos que permiten a los funcionarios y contratistas que son los responsables de la administración del parque automotor del SENA a nivel nacional, administrar eficientemente los vehículos a su cargo, asegurando una correcta y segura prestación del servicio de transporte en la entidad.</w:t>
      </w:r>
    </w:p>
    <w:p w14:paraId="276F3BCB">
      <w:pPr>
        <w:spacing w:line="276" w:lineRule="auto"/>
        <w:rPr>
          <w:rFonts w:asciiTheme="minorHAnsi" w:hAnsiTheme="minorHAnsi" w:cstheme="minorHAnsi"/>
          <w:sz w:val="24"/>
          <w:szCs w:val="24"/>
        </w:rPr>
      </w:pPr>
    </w:p>
    <w:p w14:paraId="7155A645">
      <w:pPr>
        <w:pStyle w:val="4"/>
        <w:numPr>
          <w:ilvl w:val="3"/>
          <w:numId w:val="50"/>
        </w:numPr>
        <w:spacing w:before="0"/>
        <w:rPr>
          <w:rFonts w:asciiTheme="minorHAnsi" w:hAnsiTheme="minorHAnsi" w:cstheme="minorHAnsi"/>
          <w:sz w:val="24"/>
          <w:szCs w:val="24"/>
        </w:rPr>
      </w:pPr>
      <w:bookmarkStart w:id="145" w:name="_Toc519172539"/>
      <w:bookmarkStart w:id="146" w:name="_Toc188966814"/>
      <w:bookmarkStart w:id="147" w:name="_Toc485297489"/>
      <w:r>
        <w:rPr>
          <w:rFonts w:asciiTheme="minorHAnsi" w:hAnsiTheme="minorHAnsi" w:cstheme="minorHAnsi"/>
          <w:sz w:val="24"/>
          <w:szCs w:val="24"/>
        </w:rPr>
        <w:t>MANTENIMIENTO</w:t>
      </w:r>
      <w:bookmarkEnd w:id="145"/>
      <w:bookmarkEnd w:id="146"/>
      <w:r>
        <w:rPr>
          <w:rFonts w:asciiTheme="minorHAnsi" w:hAnsiTheme="minorHAnsi" w:cstheme="minorHAnsi"/>
          <w:sz w:val="24"/>
          <w:szCs w:val="24"/>
        </w:rPr>
        <w:t xml:space="preserve"> </w:t>
      </w:r>
      <w:bookmarkEnd w:id="147"/>
    </w:p>
    <w:p w14:paraId="4770D688">
      <w:pPr>
        <w:rPr>
          <w:lang w:eastAsia="es-CO"/>
        </w:rPr>
      </w:pPr>
    </w:p>
    <w:p w14:paraId="7DD8A8DD">
      <w:pPr>
        <w:spacing w:line="276" w:lineRule="auto"/>
        <w:rPr>
          <w:rFonts w:asciiTheme="minorHAnsi" w:hAnsiTheme="minorHAnsi" w:cstheme="minorHAnsi"/>
          <w:color w:val="000000"/>
          <w:sz w:val="24"/>
          <w:szCs w:val="24"/>
        </w:rPr>
      </w:pPr>
      <w:r>
        <w:rPr>
          <w:rFonts w:asciiTheme="minorHAnsi" w:hAnsiTheme="minorHAnsi" w:cstheme="minorHAnsi"/>
          <w:color w:val="000000"/>
          <w:sz w:val="24"/>
          <w:szCs w:val="24"/>
        </w:rPr>
        <w:t>A continuación, se describen los requerimientos de mantenimientos que deben ser implementados por los responsables de la administración de los vehículos en cada Regional, Centro, Sede o Subsede, en la planificación, ejecución y registro de mantenimientos a los vehículos.</w:t>
      </w:r>
    </w:p>
    <w:p w14:paraId="7BD3139A">
      <w:pPr>
        <w:spacing w:line="276" w:lineRule="auto"/>
        <w:rPr>
          <w:rFonts w:asciiTheme="minorHAnsi" w:hAnsiTheme="minorHAnsi" w:cstheme="minorHAnsi"/>
          <w:color w:val="000000"/>
          <w:sz w:val="24"/>
          <w:szCs w:val="24"/>
        </w:rPr>
      </w:pPr>
    </w:p>
    <w:p w14:paraId="6BA3FBBF">
      <w:pPr>
        <w:pStyle w:val="4"/>
        <w:numPr>
          <w:ilvl w:val="3"/>
          <w:numId w:val="50"/>
        </w:numPr>
        <w:spacing w:before="0"/>
        <w:rPr>
          <w:rFonts w:asciiTheme="minorHAnsi" w:hAnsiTheme="minorHAnsi" w:cstheme="minorHAnsi"/>
          <w:sz w:val="24"/>
          <w:szCs w:val="24"/>
        </w:rPr>
      </w:pPr>
      <w:bookmarkStart w:id="148" w:name="_Toc503253327"/>
      <w:bookmarkStart w:id="149" w:name="_Toc503254138"/>
      <w:bookmarkStart w:id="150" w:name="_Toc188966815"/>
      <w:bookmarkStart w:id="151" w:name="_Toc499215500"/>
      <w:r>
        <w:rPr>
          <w:rFonts w:asciiTheme="minorHAnsi" w:hAnsiTheme="minorHAnsi" w:cstheme="minorHAnsi"/>
          <w:sz w:val="24"/>
          <w:szCs w:val="24"/>
        </w:rPr>
        <w:t>Inventario</w:t>
      </w:r>
      <w:bookmarkEnd w:id="148"/>
      <w:bookmarkEnd w:id="149"/>
      <w:bookmarkEnd w:id="150"/>
      <w:bookmarkEnd w:id="151"/>
    </w:p>
    <w:p w14:paraId="731C4798">
      <w:pPr>
        <w:rPr>
          <w:lang w:eastAsia="es-CO"/>
        </w:rPr>
      </w:pPr>
    </w:p>
    <w:p w14:paraId="651EF166">
      <w:pPr>
        <w:autoSpaceDE w:val="0"/>
        <w:autoSpaceDN w:val="0"/>
        <w:adjustRightInd w:val="0"/>
        <w:spacing w:line="276" w:lineRule="auto"/>
        <w:contextualSpacing/>
        <w:rPr>
          <w:rFonts w:asciiTheme="minorHAnsi" w:hAnsiTheme="minorHAnsi" w:cstheme="minorHAnsi"/>
          <w:bCs/>
          <w:sz w:val="24"/>
          <w:szCs w:val="24"/>
          <w:lang/>
        </w:rPr>
      </w:pPr>
      <w:r>
        <w:rPr>
          <w:rFonts w:asciiTheme="minorHAnsi" w:hAnsiTheme="minorHAnsi" w:cstheme="minorHAnsi"/>
          <w:bCs/>
          <w:sz w:val="24"/>
          <w:szCs w:val="24"/>
          <w:lang/>
        </w:rPr>
        <w:t xml:space="preserve">La Coordinación de Servicios Generales de la Dirección General, realizara anualmente la actualización del inventario del parque automotor a nivel nacional a través de la plataforma CRM, con el objetivo de tener el conocimiento de la cantidad y tipo de vehículos vinculados a la institución </w:t>
      </w:r>
      <w:r>
        <w:rPr>
          <w:rFonts w:asciiTheme="minorHAnsi" w:hAnsiTheme="minorHAnsi" w:cstheme="minorHAnsi"/>
          <w:bCs/>
          <w:color w:val="00B050"/>
          <w:sz w:val="24"/>
          <w:szCs w:val="24"/>
          <w:lang/>
        </w:rPr>
        <w:t xml:space="preserve">y como parte de la actualización de la lista de vehículos relacionada en el </w:t>
      </w:r>
      <w:r>
        <w:rPr>
          <w:rFonts w:asciiTheme="minorHAnsi" w:hAnsiTheme="minorHAnsi" w:cstheme="minorHAnsi"/>
          <w:b/>
          <w:color w:val="00B050"/>
          <w:sz w:val="24"/>
          <w:szCs w:val="24"/>
          <w:lang/>
        </w:rPr>
        <w:t xml:space="preserve">DIAGNOSTICO PASO 5 PESV. </w:t>
      </w:r>
      <w:r>
        <w:rPr>
          <w:rFonts w:asciiTheme="minorHAnsi" w:hAnsiTheme="minorHAnsi" w:cstheme="minorHAnsi"/>
          <w:bCs/>
          <w:sz w:val="24"/>
          <w:szCs w:val="24"/>
          <w:lang/>
        </w:rPr>
        <w:t xml:space="preserve">Para el inventario se toman en cuenta, los siguientes ítems definidos en la resolución </w:t>
      </w:r>
      <w:r>
        <w:rPr>
          <w:rFonts w:asciiTheme="minorHAnsi" w:hAnsiTheme="minorHAnsi" w:cstheme="minorHAnsi"/>
          <w:bCs/>
          <w:color w:val="00B050"/>
          <w:sz w:val="24"/>
          <w:szCs w:val="24"/>
          <w:lang/>
        </w:rPr>
        <w:t>40595 del año 2022</w:t>
      </w:r>
      <w:r>
        <w:rPr>
          <w:rFonts w:asciiTheme="minorHAnsi" w:hAnsiTheme="minorHAnsi" w:cstheme="minorHAnsi"/>
          <w:bCs/>
          <w:sz w:val="24"/>
          <w:szCs w:val="24"/>
          <w:lang/>
        </w:rPr>
        <w:t>, como información mínima</w:t>
      </w:r>
    </w:p>
    <w:p w14:paraId="6F1FBB94">
      <w:pPr>
        <w:autoSpaceDE w:val="0"/>
        <w:autoSpaceDN w:val="0"/>
        <w:adjustRightInd w:val="0"/>
        <w:spacing w:line="276" w:lineRule="auto"/>
        <w:contextualSpacing/>
        <w:rPr>
          <w:rFonts w:asciiTheme="minorHAnsi" w:hAnsiTheme="minorHAnsi" w:cstheme="minorHAnsi"/>
          <w:bCs/>
          <w:sz w:val="24"/>
          <w:szCs w:val="24"/>
          <w:lang/>
        </w:rPr>
      </w:pPr>
    </w:p>
    <w:p w14:paraId="2F6C21B1">
      <w:pPr>
        <w:pStyle w:val="51"/>
        <w:numPr>
          <w:ilvl w:val="0"/>
          <w:numId w:val="51"/>
        </w:numPr>
        <w:autoSpaceDE w:val="0"/>
        <w:autoSpaceDN w:val="0"/>
        <w:adjustRightInd w:val="0"/>
        <w:spacing w:after="0" w:line="276" w:lineRule="auto"/>
        <w:ind w:left="540" w:hanging="540"/>
        <w:rPr>
          <w:rFonts w:asciiTheme="minorHAnsi" w:hAnsiTheme="minorHAnsi" w:cstheme="minorHAnsi"/>
          <w:bCs/>
          <w:sz w:val="24"/>
          <w:szCs w:val="24"/>
          <w:lang/>
        </w:rPr>
      </w:pPr>
      <w:r>
        <w:rPr>
          <w:rFonts w:asciiTheme="minorHAnsi" w:hAnsiTheme="minorHAnsi" w:cstheme="minorHAnsi"/>
          <w:bCs/>
          <w:sz w:val="24"/>
          <w:szCs w:val="24"/>
          <w:lang/>
        </w:rPr>
        <w:t>Placas del vehículo</w:t>
      </w:r>
    </w:p>
    <w:p w14:paraId="62553FC4">
      <w:pPr>
        <w:pStyle w:val="51"/>
        <w:numPr>
          <w:ilvl w:val="0"/>
          <w:numId w:val="51"/>
        </w:numPr>
        <w:autoSpaceDE w:val="0"/>
        <w:autoSpaceDN w:val="0"/>
        <w:adjustRightInd w:val="0"/>
        <w:spacing w:after="0" w:line="276" w:lineRule="auto"/>
        <w:ind w:left="540" w:hanging="540"/>
        <w:rPr>
          <w:rFonts w:asciiTheme="minorHAnsi" w:hAnsiTheme="minorHAnsi" w:cstheme="minorHAnsi"/>
          <w:bCs/>
          <w:sz w:val="24"/>
          <w:szCs w:val="24"/>
          <w:lang/>
        </w:rPr>
      </w:pPr>
      <w:r>
        <w:rPr>
          <w:rFonts w:asciiTheme="minorHAnsi" w:hAnsiTheme="minorHAnsi" w:cstheme="minorHAnsi"/>
          <w:bCs/>
          <w:sz w:val="24"/>
          <w:szCs w:val="24"/>
          <w:lang/>
        </w:rPr>
        <w:t>Numero VIN</w:t>
      </w:r>
    </w:p>
    <w:p w14:paraId="7B7C3271">
      <w:pPr>
        <w:pStyle w:val="51"/>
        <w:numPr>
          <w:ilvl w:val="0"/>
          <w:numId w:val="51"/>
        </w:numPr>
        <w:autoSpaceDE w:val="0"/>
        <w:autoSpaceDN w:val="0"/>
        <w:adjustRightInd w:val="0"/>
        <w:spacing w:after="0" w:line="276" w:lineRule="auto"/>
        <w:ind w:left="540" w:hanging="540"/>
        <w:rPr>
          <w:rFonts w:asciiTheme="minorHAnsi" w:hAnsiTheme="minorHAnsi" w:cstheme="minorHAnsi"/>
          <w:bCs/>
          <w:sz w:val="24"/>
          <w:szCs w:val="24"/>
          <w:lang/>
        </w:rPr>
      </w:pPr>
      <w:r>
        <w:rPr>
          <w:rFonts w:asciiTheme="minorHAnsi" w:hAnsiTheme="minorHAnsi" w:cstheme="minorHAnsi"/>
          <w:bCs/>
          <w:sz w:val="24"/>
          <w:szCs w:val="24"/>
          <w:lang/>
        </w:rPr>
        <w:t>Numero de motor</w:t>
      </w:r>
    </w:p>
    <w:p w14:paraId="1EA374C9">
      <w:pPr>
        <w:pStyle w:val="51"/>
        <w:numPr>
          <w:ilvl w:val="0"/>
          <w:numId w:val="51"/>
        </w:numPr>
        <w:autoSpaceDE w:val="0"/>
        <w:autoSpaceDN w:val="0"/>
        <w:adjustRightInd w:val="0"/>
        <w:spacing w:after="0" w:line="276" w:lineRule="auto"/>
        <w:ind w:left="540" w:hanging="540"/>
        <w:rPr>
          <w:rFonts w:asciiTheme="minorHAnsi" w:hAnsiTheme="minorHAnsi" w:cstheme="minorHAnsi"/>
          <w:bCs/>
          <w:sz w:val="24"/>
          <w:szCs w:val="24"/>
          <w:lang/>
        </w:rPr>
      </w:pPr>
      <w:r>
        <w:rPr>
          <w:rFonts w:asciiTheme="minorHAnsi" w:hAnsiTheme="minorHAnsi" w:cstheme="minorHAnsi"/>
          <w:bCs/>
          <w:sz w:val="24"/>
          <w:szCs w:val="24"/>
          <w:lang/>
        </w:rPr>
        <w:t xml:space="preserve">Kilometraje </w:t>
      </w:r>
    </w:p>
    <w:p w14:paraId="66A81CFF">
      <w:pPr>
        <w:pStyle w:val="51"/>
        <w:numPr>
          <w:ilvl w:val="0"/>
          <w:numId w:val="51"/>
        </w:numPr>
        <w:autoSpaceDE w:val="0"/>
        <w:autoSpaceDN w:val="0"/>
        <w:adjustRightInd w:val="0"/>
        <w:spacing w:after="0" w:line="276" w:lineRule="auto"/>
        <w:ind w:left="540" w:hanging="540"/>
        <w:rPr>
          <w:rFonts w:asciiTheme="minorHAnsi" w:hAnsiTheme="minorHAnsi" w:cstheme="minorHAnsi"/>
          <w:bCs/>
          <w:color w:val="00B050"/>
          <w:sz w:val="24"/>
          <w:szCs w:val="24"/>
          <w:lang/>
        </w:rPr>
      </w:pPr>
      <w:r>
        <w:rPr>
          <w:rFonts w:asciiTheme="minorHAnsi" w:hAnsiTheme="minorHAnsi" w:cstheme="minorHAnsi"/>
          <w:bCs/>
          <w:color w:val="00B050"/>
          <w:sz w:val="24"/>
          <w:szCs w:val="24"/>
          <w:lang/>
        </w:rPr>
        <w:t>Fecha de fabricación</w:t>
      </w:r>
    </w:p>
    <w:p w14:paraId="5A6D5DE4">
      <w:pPr>
        <w:pStyle w:val="51"/>
        <w:numPr>
          <w:ilvl w:val="0"/>
          <w:numId w:val="51"/>
        </w:numPr>
        <w:autoSpaceDE w:val="0"/>
        <w:autoSpaceDN w:val="0"/>
        <w:adjustRightInd w:val="0"/>
        <w:spacing w:after="0" w:line="276" w:lineRule="auto"/>
        <w:ind w:left="540" w:hanging="540"/>
        <w:rPr>
          <w:rFonts w:asciiTheme="minorHAnsi" w:hAnsiTheme="minorHAnsi" w:cstheme="minorHAnsi"/>
          <w:bCs/>
          <w:sz w:val="24"/>
          <w:szCs w:val="24"/>
          <w:lang/>
        </w:rPr>
      </w:pPr>
      <w:r>
        <w:rPr>
          <w:rFonts w:asciiTheme="minorHAnsi" w:hAnsiTheme="minorHAnsi" w:cstheme="minorHAnsi"/>
          <w:bCs/>
          <w:sz w:val="24"/>
          <w:szCs w:val="24"/>
          <w:lang/>
        </w:rPr>
        <w:t>Especificaciones técnicas del vehículo</w:t>
      </w:r>
    </w:p>
    <w:p w14:paraId="30B7EC50">
      <w:pPr>
        <w:pStyle w:val="51"/>
        <w:numPr>
          <w:ilvl w:val="0"/>
          <w:numId w:val="51"/>
        </w:numPr>
        <w:autoSpaceDE w:val="0"/>
        <w:autoSpaceDN w:val="0"/>
        <w:adjustRightInd w:val="0"/>
        <w:spacing w:after="0" w:line="276" w:lineRule="auto"/>
        <w:ind w:left="540" w:hanging="540"/>
        <w:rPr>
          <w:rFonts w:asciiTheme="minorHAnsi" w:hAnsiTheme="minorHAnsi" w:cstheme="minorHAnsi"/>
          <w:bCs/>
          <w:sz w:val="24"/>
          <w:szCs w:val="24"/>
          <w:lang/>
        </w:rPr>
      </w:pPr>
      <w:r>
        <w:rPr>
          <w:rFonts w:asciiTheme="minorHAnsi" w:hAnsiTheme="minorHAnsi" w:cstheme="minorHAnsi"/>
          <w:bCs/>
          <w:sz w:val="24"/>
          <w:szCs w:val="24"/>
          <w:lang/>
        </w:rPr>
        <w:t>Datos del propietario</w:t>
      </w:r>
    </w:p>
    <w:p w14:paraId="1AF195E7">
      <w:pPr>
        <w:pStyle w:val="51"/>
        <w:numPr>
          <w:ilvl w:val="0"/>
          <w:numId w:val="51"/>
        </w:numPr>
        <w:autoSpaceDE w:val="0"/>
        <w:autoSpaceDN w:val="0"/>
        <w:adjustRightInd w:val="0"/>
        <w:spacing w:after="0" w:line="276" w:lineRule="auto"/>
        <w:ind w:left="540" w:hanging="540"/>
        <w:rPr>
          <w:rFonts w:asciiTheme="minorHAnsi" w:hAnsiTheme="minorHAnsi" w:cstheme="minorHAnsi"/>
          <w:bCs/>
          <w:sz w:val="24"/>
          <w:szCs w:val="24"/>
          <w:lang/>
        </w:rPr>
      </w:pPr>
      <w:r>
        <w:rPr>
          <w:rFonts w:asciiTheme="minorHAnsi" w:hAnsiTheme="minorHAnsi" w:cstheme="minorHAnsi"/>
          <w:bCs/>
          <w:sz w:val="24"/>
          <w:szCs w:val="24"/>
          <w:lang/>
        </w:rPr>
        <w:t>Datos de la empresa afiliada</w:t>
      </w:r>
    </w:p>
    <w:p w14:paraId="4110746B">
      <w:pPr>
        <w:pStyle w:val="51"/>
        <w:numPr>
          <w:ilvl w:val="0"/>
          <w:numId w:val="51"/>
        </w:numPr>
        <w:autoSpaceDE w:val="0"/>
        <w:autoSpaceDN w:val="0"/>
        <w:adjustRightInd w:val="0"/>
        <w:spacing w:after="0" w:line="276" w:lineRule="auto"/>
        <w:ind w:left="540" w:hanging="540"/>
        <w:rPr>
          <w:rFonts w:asciiTheme="minorHAnsi" w:hAnsiTheme="minorHAnsi" w:cstheme="minorHAnsi"/>
          <w:bCs/>
          <w:sz w:val="24"/>
          <w:szCs w:val="24"/>
          <w:lang/>
        </w:rPr>
      </w:pPr>
      <w:r>
        <w:rPr>
          <w:rFonts w:asciiTheme="minorHAnsi" w:hAnsiTheme="minorHAnsi" w:cstheme="minorHAnsi"/>
          <w:bCs/>
          <w:sz w:val="24"/>
          <w:szCs w:val="24"/>
          <w:lang/>
        </w:rPr>
        <w:t>SOAT- Fecha de vigencia</w:t>
      </w:r>
    </w:p>
    <w:p w14:paraId="2F4EFADF">
      <w:pPr>
        <w:pStyle w:val="51"/>
        <w:numPr>
          <w:ilvl w:val="0"/>
          <w:numId w:val="51"/>
        </w:numPr>
        <w:autoSpaceDE w:val="0"/>
        <w:autoSpaceDN w:val="0"/>
        <w:adjustRightInd w:val="0"/>
        <w:spacing w:after="0" w:line="276" w:lineRule="auto"/>
        <w:ind w:left="540" w:hanging="540"/>
        <w:rPr>
          <w:rFonts w:asciiTheme="minorHAnsi" w:hAnsiTheme="minorHAnsi" w:cstheme="minorHAnsi"/>
          <w:bCs/>
          <w:sz w:val="24"/>
          <w:szCs w:val="24"/>
          <w:lang/>
        </w:rPr>
      </w:pPr>
      <w:r>
        <w:rPr>
          <w:rFonts w:asciiTheme="minorHAnsi" w:hAnsiTheme="minorHAnsi" w:cstheme="minorHAnsi"/>
          <w:bCs/>
          <w:sz w:val="24"/>
          <w:szCs w:val="24"/>
          <w:lang/>
        </w:rPr>
        <w:t>Seguros - Fechas de vigencia</w:t>
      </w:r>
    </w:p>
    <w:p w14:paraId="03FB1A3A">
      <w:pPr>
        <w:pStyle w:val="51"/>
        <w:numPr>
          <w:ilvl w:val="0"/>
          <w:numId w:val="51"/>
        </w:numPr>
        <w:autoSpaceDE w:val="0"/>
        <w:autoSpaceDN w:val="0"/>
        <w:adjustRightInd w:val="0"/>
        <w:spacing w:after="0" w:line="276" w:lineRule="auto"/>
        <w:ind w:left="540" w:hanging="540"/>
        <w:rPr>
          <w:rFonts w:asciiTheme="minorHAnsi" w:hAnsiTheme="minorHAnsi" w:cstheme="minorHAnsi"/>
          <w:bCs/>
          <w:sz w:val="24"/>
          <w:szCs w:val="24"/>
          <w:lang/>
        </w:rPr>
      </w:pPr>
      <w:r>
        <w:rPr>
          <w:rFonts w:asciiTheme="minorHAnsi" w:hAnsiTheme="minorHAnsi" w:cstheme="minorHAnsi"/>
          <w:bCs/>
          <w:sz w:val="24"/>
          <w:szCs w:val="24"/>
          <w:lang/>
        </w:rPr>
        <w:t>Revisión Técnico Mecánica</w:t>
      </w:r>
    </w:p>
    <w:p w14:paraId="5329D50C">
      <w:pPr>
        <w:pStyle w:val="51"/>
        <w:numPr>
          <w:ilvl w:val="0"/>
          <w:numId w:val="51"/>
        </w:numPr>
        <w:autoSpaceDE w:val="0"/>
        <w:autoSpaceDN w:val="0"/>
        <w:adjustRightInd w:val="0"/>
        <w:spacing w:after="0" w:line="276" w:lineRule="auto"/>
        <w:ind w:left="540" w:hanging="540"/>
        <w:rPr>
          <w:rFonts w:asciiTheme="minorHAnsi" w:hAnsiTheme="minorHAnsi" w:cstheme="minorHAnsi"/>
          <w:bCs/>
          <w:sz w:val="24"/>
          <w:szCs w:val="24"/>
          <w:lang/>
        </w:rPr>
      </w:pPr>
      <w:r>
        <w:rPr>
          <w:rFonts w:asciiTheme="minorHAnsi" w:hAnsiTheme="minorHAnsi" w:cstheme="minorHAnsi"/>
          <w:bCs/>
          <w:sz w:val="24"/>
          <w:szCs w:val="24"/>
          <w:lang/>
        </w:rPr>
        <w:t>Reporte de comparendos</w:t>
      </w:r>
    </w:p>
    <w:p w14:paraId="06DF0D1F">
      <w:pPr>
        <w:pStyle w:val="51"/>
        <w:numPr>
          <w:ilvl w:val="0"/>
          <w:numId w:val="51"/>
        </w:numPr>
        <w:autoSpaceDE w:val="0"/>
        <w:autoSpaceDN w:val="0"/>
        <w:adjustRightInd w:val="0"/>
        <w:spacing w:after="0" w:line="276" w:lineRule="auto"/>
        <w:ind w:left="540" w:hanging="540"/>
        <w:rPr>
          <w:rFonts w:asciiTheme="minorHAnsi" w:hAnsiTheme="minorHAnsi" w:cstheme="minorHAnsi"/>
          <w:bCs/>
          <w:color w:val="FF0000"/>
          <w:sz w:val="24"/>
          <w:szCs w:val="24"/>
          <w:lang/>
        </w:rPr>
      </w:pPr>
      <w:r>
        <w:rPr>
          <w:rFonts w:asciiTheme="minorHAnsi" w:hAnsiTheme="minorHAnsi" w:cstheme="minorHAnsi"/>
          <w:bCs/>
          <w:sz w:val="24"/>
          <w:szCs w:val="24"/>
          <w:lang/>
        </w:rPr>
        <w:t xml:space="preserve">Reporte de </w:t>
      </w:r>
      <w:r>
        <w:rPr>
          <w:rFonts w:asciiTheme="minorHAnsi" w:hAnsiTheme="minorHAnsi" w:cstheme="minorHAnsi"/>
          <w:bCs/>
          <w:color w:val="00B050"/>
          <w:sz w:val="24"/>
          <w:szCs w:val="24"/>
          <w:lang/>
        </w:rPr>
        <w:t>siniestros</w:t>
      </w:r>
      <w:r>
        <w:rPr>
          <w:rFonts w:asciiTheme="minorHAnsi" w:hAnsiTheme="minorHAnsi" w:cstheme="minorHAnsi"/>
          <w:bCs/>
          <w:sz w:val="24"/>
          <w:szCs w:val="24"/>
          <w:lang/>
        </w:rPr>
        <w:t xml:space="preserve"> - </w:t>
      </w:r>
      <w:r>
        <w:rPr>
          <w:rFonts w:asciiTheme="minorHAnsi" w:hAnsiTheme="minorHAnsi" w:cstheme="minorHAnsi"/>
          <w:bCs/>
          <w:color w:val="FF0000"/>
          <w:sz w:val="24"/>
          <w:szCs w:val="24"/>
          <w:lang/>
        </w:rPr>
        <w:t>fecha, lugar, área rural/urbana</w:t>
      </w:r>
    </w:p>
    <w:p w14:paraId="49098847">
      <w:pPr>
        <w:pStyle w:val="51"/>
        <w:numPr>
          <w:ilvl w:val="0"/>
          <w:numId w:val="51"/>
        </w:numPr>
        <w:autoSpaceDE w:val="0"/>
        <w:autoSpaceDN w:val="0"/>
        <w:adjustRightInd w:val="0"/>
        <w:spacing w:after="0" w:line="276" w:lineRule="auto"/>
        <w:ind w:left="540" w:hanging="540"/>
        <w:rPr>
          <w:rFonts w:asciiTheme="minorHAnsi" w:hAnsiTheme="minorHAnsi" w:cstheme="minorHAnsi"/>
          <w:bCs/>
          <w:sz w:val="24"/>
          <w:szCs w:val="24"/>
          <w:lang/>
        </w:rPr>
      </w:pPr>
      <w:r>
        <w:rPr>
          <w:rFonts w:asciiTheme="minorHAnsi" w:hAnsiTheme="minorHAnsi" w:cstheme="minorHAnsi"/>
          <w:bCs/>
          <w:sz w:val="24"/>
          <w:szCs w:val="24"/>
          <w:lang/>
        </w:rPr>
        <w:t>Plan de mantenimiento preventivo – fechas</w:t>
      </w:r>
    </w:p>
    <w:p w14:paraId="0CC8D86C">
      <w:pPr>
        <w:pStyle w:val="51"/>
        <w:numPr>
          <w:ilvl w:val="0"/>
          <w:numId w:val="51"/>
        </w:numPr>
        <w:autoSpaceDE w:val="0"/>
        <w:autoSpaceDN w:val="0"/>
        <w:adjustRightInd w:val="0"/>
        <w:spacing w:after="0" w:line="276" w:lineRule="auto"/>
        <w:ind w:left="540" w:hanging="540"/>
        <w:rPr>
          <w:rFonts w:asciiTheme="minorHAnsi" w:hAnsiTheme="minorHAnsi" w:cstheme="minorHAnsi"/>
          <w:bCs/>
          <w:color w:val="00B050"/>
          <w:sz w:val="24"/>
          <w:szCs w:val="24"/>
          <w:lang/>
        </w:rPr>
      </w:pPr>
      <w:r>
        <w:rPr>
          <w:rFonts w:asciiTheme="minorHAnsi" w:hAnsiTheme="minorHAnsi" w:cstheme="minorHAnsi"/>
          <w:bCs/>
          <w:color w:val="00B050"/>
          <w:sz w:val="24"/>
          <w:szCs w:val="24"/>
          <w:lang/>
        </w:rPr>
        <w:t>Tipo de vehículo</w:t>
      </w:r>
    </w:p>
    <w:p w14:paraId="097E3489">
      <w:pPr>
        <w:pStyle w:val="51"/>
        <w:numPr>
          <w:ilvl w:val="0"/>
          <w:numId w:val="51"/>
        </w:numPr>
        <w:autoSpaceDE w:val="0"/>
        <w:autoSpaceDN w:val="0"/>
        <w:adjustRightInd w:val="0"/>
        <w:spacing w:after="0" w:line="276" w:lineRule="auto"/>
        <w:ind w:left="540" w:hanging="540"/>
        <w:rPr>
          <w:rFonts w:asciiTheme="minorHAnsi" w:hAnsiTheme="minorHAnsi" w:cstheme="minorHAnsi"/>
          <w:bCs/>
          <w:color w:val="00B050"/>
          <w:sz w:val="24"/>
          <w:szCs w:val="24"/>
          <w:lang/>
        </w:rPr>
      </w:pPr>
      <w:r>
        <w:rPr>
          <w:rFonts w:asciiTheme="minorHAnsi" w:hAnsiTheme="minorHAnsi" w:cstheme="minorHAnsi"/>
          <w:bCs/>
          <w:color w:val="00B050"/>
          <w:sz w:val="24"/>
          <w:szCs w:val="24"/>
          <w:lang/>
        </w:rPr>
        <w:t>Promedio estimado de kilómetros que recorre al mes</w:t>
      </w:r>
    </w:p>
    <w:p w14:paraId="0DBDF79E">
      <w:pPr>
        <w:autoSpaceDE w:val="0"/>
        <w:autoSpaceDN w:val="0"/>
        <w:adjustRightInd w:val="0"/>
        <w:spacing w:line="276" w:lineRule="auto"/>
        <w:contextualSpacing/>
        <w:rPr>
          <w:rFonts w:asciiTheme="minorHAnsi" w:hAnsiTheme="minorHAnsi" w:cstheme="minorHAnsi"/>
          <w:b/>
          <w:sz w:val="24"/>
          <w:szCs w:val="24"/>
          <w:lang w:val="es-MX"/>
        </w:rPr>
      </w:pPr>
    </w:p>
    <w:p w14:paraId="4BD12A7C">
      <w:pPr>
        <w:autoSpaceDE w:val="0"/>
        <w:autoSpaceDN w:val="0"/>
        <w:adjustRightInd w:val="0"/>
        <w:spacing w:line="276" w:lineRule="auto"/>
        <w:contextualSpacing/>
        <w:rPr>
          <w:rFonts w:asciiTheme="minorHAnsi" w:hAnsiTheme="minorHAnsi" w:cstheme="minorHAnsi"/>
          <w:sz w:val="24"/>
          <w:szCs w:val="24"/>
          <w:lang w:val="es-MX"/>
        </w:rPr>
      </w:pPr>
      <w:r>
        <w:rPr>
          <w:rFonts w:asciiTheme="minorHAnsi" w:hAnsiTheme="minorHAnsi" w:cstheme="minorHAnsi"/>
          <w:sz w:val="24"/>
          <w:szCs w:val="24"/>
          <w:lang w:val="es-MX"/>
        </w:rPr>
        <w:t xml:space="preserve">Es responsabilidad de la Dirección Administrativa y Financiera, en cabeza de los delegados en cada una de las Regionales, mantener la base de datos actualizada con este inventario de vehículos para cada sede SENA y la documentación como evidencia para los seguimientos o auditorias. </w:t>
      </w:r>
    </w:p>
    <w:p w14:paraId="0CFDB185">
      <w:pPr>
        <w:autoSpaceDE w:val="0"/>
        <w:autoSpaceDN w:val="0"/>
        <w:adjustRightInd w:val="0"/>
        <w:spacing w:line="276" w:lineRule="auto"/>
        <w:contextualSpacing/>
        <w:rPr>
          <w:rFonts w:asciiTheme="minorHAnsi" w:hAnsiTheme="minorHAnsi" w:cstheme="minorHAnsi"/>
          <w:bCs/>
          <w:sz w:val="24"/>
          <w:szCs w:val="24"/>
          <w:lang w:val="es-MX"/>
        </w:rPr>
      </w:pPr>
    </w:p>
    <w:p w14:paraId="0BFA2CBE">
      <w:pPr>
        <w:pStyle w:val="4"/>
        <w:numPr>
          <w:ilvl w:val="3"/>
          <w:numId w:val="50"/>
        </w:numPr>
        <w:spacing w:before="0"/>
        <w:rPr>
          <w:rFonts w:asciiTheme="minorHAnsi" w:hAnsiTheme="minorHAnsi" w:cstheme="minorHAnsi"/>
          <w:sz w:val="24"/>
          <w:szCs w:val="24"/>
        </w:rPr>
      </w:pPr>
      <w:bookmarkStart w:id="152" w:name="_Toc188966816"/>
      <w:r>
        <w:rPr>
          <w:rFonts w:asciiTheme="minorHAnsi" w:hAnsiTheme="minorHAnsi" w:cstheme="minorHAnsi"/>
          <w:sz w:val="24"/>
          <w:szCs w:val="24"/>
        </w:rPr>
        <w:t>Hoja de vida</w:t>
      </w:r>
      <w:bookmarkEnd w:id="152"/>
    </w:p>
    <w:p w14:paraId="17932DE6">
      <w:pPr>
        <w:spacing w:line="276" w:lineRule="auto"/>
        <w:rPr>
          <w:rFonts w:asciiTheme="minorHAnsi" w:hAnsiTheme="minorHAnsi" w:cstheme="minorHAnsi"/>
          <w:sz w:val="24"/>
          <w:szCs w:val="24"/>
          <w:lang w:eastAsia="es-CO"/>
        </w:rPr>
      </w:pPr>
    </w:p>
    <w:p w14:paraId="04547EDD">
      <w:pPr>
        <w:tabs>
          <w:tab w:val="left" w:pos="2694"/>
        </w:tabs>
        <w:spacing w:line="276" w:lineRule="auto"/>
        <w:rPr>
          <w:rFonts w:asciiTheme="minorHAnsi" w:hAnsiTheme="minorHAnsi" w:cstheme="minorHAnsi"/>
          <w:sz w:val="24"/>
          <w:szCs w:val="24"/>
        </w:rPr>
      </w:pPr>
      <w:r>
        <w:rPr>
          <w:rFonts w:asciiTheme="minorHAnsi" w:hAnsiTheme="minorHAnsi" w:cstheme="minorHAnsi"/>
          <w:sz w:val="24"/>
          <w:szCs w:val="24"/>
          <w:lang w:val="es-MX"/>
        </w:rPr>
        <w:t>Con el fin de establecer un control al inventario realizado, EL SENA</w:t>
      </w:r>
      <w:r>
        <w:rPr>
          <w:rFonts w:asciiTheme="minorHAnsi" w:hAnsiTheme="minorHAnsi" w:cstheme="minorHAnsi"/>
          <w:b/>
          <w:sz w:val="24"/>
          <w:szCs w:val="24"/>
          <w:lang w:val="es-MX"/>
        </w:rPr>
        <w:t xml:space="preserve"> </w:t>
      </w:r>
      <w:r>
        <w:rPr>
          <w:rFonts w:asciiTheme="minorHAnsi" w:hAnsiTheme="minorHAnsi" w:cstheme="minorHAnsi"/>
          <w:sz w:val="24"/>
          <w:szCs w:val="24"/>
        </w:rPr>
        <w:t>dispone de un Sistema de Información para el control del parque automotor del SENA CRM, en la cual se deberá cargar el registro de hoja de vida por cada vehículo, en este registro se consigna información específica del equipo o vehículo, unas características propias de cada uno con una foto del mismo.</w:t>
      </w:r>
    </w:p>
    <w:p w14:paraId="3893A181">
      <w:pPr>
        <w:tabs>
          <w:tab w:val="left" w:pos="2694"/>
        </w:tabs>
        <w:spacing w:line="276" w:lineRule="auto"/>
        <w:rPr>
          <w:rFonts w:asciiTheme="minorHAnsi" w:hAnsiTheme="minorHAnsi" w:cstheme="minorHAnsi"/>
          <w:sz w:val="24"/>
          <w:szCs w:val="24"/>
        </w:rPr>
      </w:pPr>
    </w:p>
    <w:p w14:paraId="12A794B4">
      <w:pPr>
        <w:spacing w:line="276" w:lineRule="auto"/>
        <w:rPr>
          <w:rFonts w:asciiTheme="minorHAnsi" w:hAnsiTheme="minorHAnsi" w:cstheme="minorHAnsi"/>
          <w:sz w:val="24"/>
          <w:szCs w:val="24"/>
        </w:rPr>
      </w:pPr>
      <w:r>
        <w:rPr>
          <w:rFonts w:asciiTheme="minorHAnsi" w:hAnsiTheme="minorHAnsi" w:cstheme="minorHAnsi"/>
          <w:sz w:val="24"/>
          <w:szCs w:val="24"/>
        </w:rPr>
        <w:t>Cada documento de estos será actualizado conforme a la vigencia de cada uno de ellos, con el fin de mantener al día las hojas de vida de los vehículos disponibles.</w:t>
      </w:r>
    </w:p>
    <w:p w14:paraId="420071C4">
      <w:pPr>
        <w:spacing w:line="276" w:lineRule="auto"/>
        <w:rPr>
          <w:rFonts w:asciiTheme="minorHAnsi" w:hAnsiTheme="minorHAnsi" w:cstheme="minorHAnsi"/>
          <w:sz w:val="24"/>
          <w:szCs w:val="24"/>
        </w:rPr>
      </w:pPr>
    </w:p>
    <w:p w14:paraId="261944C5">
      <w:pPr>
        <w:pStyle w:val="4"/>
        <w:numPr>
          <w:ilvl w:val="3"/>
          <w:numId w:val="50"/>
        </w:numPr>
        <w:spacing w:before="0"/>
        <w:rPr>
          <w:rFonts w:asciiTheme="minorHAnsi" w:hAnsiTheme="minorHAnsi" w:cstheme="minorHAnsi"/>
          <w:sz w:val="24"/>
          <w:szCs w:val="24"/>
        </w:rPr>
      </w:pPr>
      <w:bookmarkStart w:id="153" w:name="_Toc497499198"/>
      <w:bookmarkEnd w:id="153"/>
      <w:bookmarkStart w:id="154" w:name="_Toc503254140"/>
      <w:bookmarkStart w:id="155" w:name="_Toc499215506"/>
      <w:bookmarkStart w:id="156" w:name="_Toc503253329"/>
      <w:bookmarkStart w:id="157" w:name="_Toc188966817"/>
      <w:r>
        <w:rPr>
          <w:rFonts w:asciiTheme="minorHAnsi" w:hAnsiTheme="minorHAnsi" w:cstheme="minorHAnsi"/>
          <w:sz w:val="24"/>
          <w:szCs w:val="24"/>
        </w:rPr>
        <w:t>Mantenimientos preventivos y correctivos</w:t>
      </w:r>
      <w:bookmarkEnd w:id="154"/>
      <w:bookmarkEnd w:id="155"/>
      <w:bookmarkEnd w:id="156"/>
      <w:bookmarkEnd w:id="157"/>
    </w:p>
    <w:p w14:paraId="327007DE">
      <w:pPr>
        <w:spacing w:line="276" w:lineRule="auto"/>
        <w:rPr>
          <w:rFonts w:asciiTheme="minorHAnsi" w:hAnsiTheme="minorHAnsi" w:cstheme="minorHAnsi"/>
          <w:sz w:val="24"/>
          <w:szCs w:val="24"/>
          <w:lang w:eastAsia="es-CO"/>
        </w:rPr>
      </w:pPr>
    </w:p>
    <w:p w14:paraId="0EEAA25F">
      <w:pPr>
        <w:widowControl w:val="0"/>
        <w:tabs>
          <w:tab w:val="left" w:pos="0"/>
          <w:tab w:val="left" w:pos="284"/>
        </w:tabs>
        <w:spacing w:line="276" w:lineRule="auto"/>
        <w:ind w:right="57"/>
        <w:contextualSpacing/>
        <w:rPr>
          <w:rFonts w:asciiTheme="minorHAnsi" w:hAnsiTheme="minorHAnsi" w:cstheme="minorHAnsi"/>
          <w:sz w:val="24"/>
          <w:szCs w:val="24"/>
        </w:rPr>
      </w:pPr>
      <w:r>
        <w:rPr>
          <w:rFonts w:asciiTheme="minorHAnsi" w:hAnsiTheme="minorHAnsi" w:cstheme="minorHAnsi"/>
          <w:sz w:val="24"/>
          <w:szCs w:val="24"/>
        </w:rPr>
        <w:t xml:space="preserve">El ordenador del gasto en cada Regional, Centro, Sede o Subsede es responsable que dentro de los proyectos se soliciten los rubros específicos para el mantenimiento del parque automotor de la Regional, para garantizar el cubrimiento de lo requerido en mantenimientos preventivos y correctivos para el óptimo funcionamiento de los vehículos, y propender por una oportuna inclusión de los mismos. </w:t>
      </w:r>
    </w:p>
    <w:p w14:paraId="0EA07542">
      <w:pPr>
        <w:widowControl w:val="0"/>
        <w:tabs>
          <w:tab w:val="left" w:pos="0"/>
          <w:tab w:val="left" w:pos="284"/>
        </w:tabs>
        <w:spacing w:line="276" w:lineRule="auto"/>
        <w:ind w:right="57"/>
        <w:contextualSpacing/>
        <w:rPr>
          <w:rFonts w:asciiTheme="minorHAnsi" w:hAnsiTheme="minorHAnsi" w:cstheme="minorHAnsi"/>
          <w:color w:val="000000"/>
          <w:sz w:val="24"/>
          <w:szCs w:val="24"/>
          <w:lang w:eastAsia="es-CO"/>
        </w:rPr>
      </w:pPr>
    </w:p>
    <w:p w14:paraId="5A63DE5E">
      <w:pPr>
        <w:spacing w:line="276" w:lineRule="auto"/>
        <w:rPr>
          <w:rFonts w:asciiTheme="minorHAnsi" w:hAnsiTheme="minorHAnsi" w:cstheme="minorHAnsi"/>
          <w:sz w:val="24"/>
          <w:szCs w:val="24"/>
        </w:rPr>
      </w:pPr>
      <w:r>
        <w:rPr>
          <w:rFonts w:asciiTheme="minorHAnsi" w:hAnsiTheme="minorHAnsi" w:cstheme="minorHAnsi"/>
          <w:color w:val="000000"/>
          <w:sz w:val="24"/>
          <w:szCs w:val="24"/>
          <w:lang w:eastAsia="es-CO"/>
        </w:rPr>
        <w:t xml:space="preserve">El delegado en cada Regional, Centro, Sede o Subsede </w:t>
      </w:r>
      <w:r>
        <w:rPr>
          <w:rFonts w:asciiTheme="minorHAnsi" w:hAnsiTheme="minorHAnsi" w:cstheme="minorHAnsi"/>
          <w:sz w:val="24"/>
          <w:szCs w:val="24"/>
        </w:rPr>
        <w:t>responsable de la administración del parque automotor supervisa que se realicen los mantenimientos tanto preventivos como correctivos de los vehículos propiedad del SENA, con suministro de los repuestos a que haya lugar. Dentro de las actividades a desarrollar se encuentran, dependiendo el tipo de vehículo, las de motor, sistema de inyección, Sistema eléctrico, Transmisión y Caja de Cambios, Sistema  de Suspensión y Dirección, Sistema de Frenos, Chasis.</w:t>
      </w:r>
    </w:p>
    <w:p w14:paraId="44569D68">
      <w:pPr>
        <w:spacing w:line="276" w:lineRule="auto"/>
        <w:rPr>
          <w:rFonts w:asciiTheme="minorHAnsi" w:hAnsiTheme="minorHAnsi" w:cstheme="minorHAnsi"/>
          <w:b/>
          <w:sz w:val="24"/>
          <w:szCs w:val="24"/>
        </w:rPr>
      </w:pPr>
    </w:p>
    <w:p w14:paraId="49E16FC7">
      <w:pPr>
        <w:spacing w:line="276" w:lineRule="auto"/>
        <w:contextualSpacing/>
        <w:rPr>
          <w:rFonts w:asciiTheme="minorHAnsi" w:hAnsiTheme="minorHAnsi" w:cstheme="minorHAnsi"/>
          <w:sz w:val="24"/>
          <w:szCs w:val="24"/>
        </w:rPr>
      </w:pPr>
      <w:r>
        <w:rPr>
          <w:rFonts w:asciiTheme="minorHAnsi" w:hAnsiTheme="minorHAnsi" w:cstheme="minorHAnsi"/>
          <w:b/>
          <w:sz w:val="24"/>
          <w:szCs w:val="24"/>
          <w:u w:val="single"/>
        </w:rPr>
        <w:t>Nota:</w:t>
      </w:r>
      <w:r>
        <w:rPr>
          <w:rFonts w:asciiTheme="minorHAnsi" w:hAnsiTheme="minorHAnsi" w:cstheme="minorHAnsi"/>
          <w:sz w:val="24"/>
          <w:szCs w:val="24"/>
        </w:rPr>
        <w:t xml:space="preserve"> Los repuestos que se empleen deben ser originales u homologados cuando el supervisor así lo autorice y tiene que contar con sus correspondientes garantías de fábrica y su valor no podrá excederlos valores ofertados o en su defecto exceder los precios comerciales que se ofrecen en el mercado. </w:t>
      </w:r>
    </w:p>
    <w:p w14:paraId="688A0CB1">
      <w:pPr>
        <w:spacing w:line="276" w:lineRule="auto"/>
        <w:contextualSpacing/>
        <w:rPr>
          <w:rFonts w:asciiTheme="minorHAnsi" w:hAnsiTheme="minorHAnsi" w:cstheme="minorHAnsi"/>
          <w:sz w:val="24"/>
          <w:szCs w:val="24"/>
        </w:rPr>
      </w:pPr>
    </w:p>
    <w:p w14:paraId="1315D59E">
      <w:pPr>
        <w:spacing w:line="276" w:lineRule="auto"/>
        <w:rPr>
          <w:rFonts w:asciiTheme="minorHAnsi" w:hAnsiTheme="minorHAnsi" w:cstheme="minorHAnsi"/>
          <w:sz w:val="24"/>
          <w:szCs w:val="24"/>
        </w:rPr>
      </w:pPr>
      <w:r>
        <w:rPr>
          <w:rFonts w:asciiTheme="minorHAnsi" w:hAnsiTheme="minorHAnsi" w:cstheme="minorHAnsi"/>
          <w:sz w:val="24"/>
          <w:szCs w:val="24"/>
        </w:rPr>
        <w:t>A continuación, se presentan rutinas de mantenimiento correctivo y preventivo más comunes que se requieren en todos los vehículos.</w:t>
      </w:r>
    </w:p>
    <w:p w14:paraId="47B0D6C7">
      <w:pPr>
        <w:spacing w:line="276" w:lineRule="auto"/>
        <w:rPr>
          <w:rFonts w:asciiTheme="minorHAnsi" w:hAnsiTheme="minorHAnsi" w:cstheme="minorHAnsi"/>
          <w:sz w:val="24"/>
          <w:szCs w:val="24"/>
        </w:rPr>
      </w:pPr>
    </w:p>
    <w:p w14:paraId="662C7BF7">
      <w:pPr>
        <w:pStyle w:val="4"/>
        <w:numPr>
          <w:ilvl w:val="3"/>
          <w:numId w:val="50"/>
        </w:numPr>
        <w:spacing w:before="0"/>
        <w:rPr>
          <w:rFonts w:asciiTheme="minorHAnsi" w:hAnsiTheme="minorHAnsi" w:cstheme="minorHAnsi"/>
          <w:sz w:val="24"/>
          <w:szCs w:val="24"/>
        </w:rPr>
      </w:pPr>
      <w:bookmarkStart w:id="158" w:name="_Toc497499199"/>
      <w:bookmarkEnd w:id="158"/>
      <w:bookmarkStart w:id="159" w:name="_Toc188966818"/>
      <w:bookmarkStart w:id="160" w:name="_Toc499215507"/>
      <w:bookmarkStart w:id="161" w:name="_Toc503253330"/>
      <w:bookmarkStart w:id="162" w:name="_Toc503254141"/>
      <w:r>
        <w:rPr>
          <w:rFonts w:asciiTheme="minorHAnsi" w:hAnsiTheme="minorHAnsi" w:cstheme="minorHAnsi"/>
          <w:sz w:val="24"/>
          <w:szCs w:val="24"/>
        </w:rPr>
        <w:t>Mantenimiento Preventivo</w:t>
      </w:r>
      <w:bookmarkEnd w:id="159"/>
      <w:bookmarkEnd w:id="160"/>
      <w:bookmarkEnd w:id="161"/>
      <w:bookmarkEnd w:id="162"/>
    </w:p>
    <w:p w14:paraId="539C8D3E">
      <w:pPr>
        <w:spacing w:line="276" w:lineRule="auto"/>
        <w:rPr>
          <w:rFonts w:asciiTheme="minorHAnsi" w:hAnsiTheme="minorHAnsi" w:cstheme="minorHAnsi"/>
          <w:sz w:val="24"/>
          <w:szCs w:val="24"/>
          <w:lang w:eastAsia="es-CO"/>
        </w:rPr>
      </w:pPr>
    </w:p>
    <w:p w14:paraId="37E36D8C">
      <w:pPr>
        <w:spacing w:line="276" w:lineRule="auto"/>
        <w:rPr>
          <w:rFonts w:asciiTheme="minorHAnsi" w:hAnsiTheme="minorHAnsi" w:cstheme="minorHAnsi"/>
          <w:sz w:val="24"/>
          <w:szCs w:val="24"/>
        </w:rPr>
      </w:pPr>
      <w:r>
        <w:rPr>
          <w:rFonts w:asciiTheme="minorHAnsi" w:hAnsiTheme="minorHAnsi" w:cstheme="minorHAnsi"/>
          <w:sz w:val="24"/>
          <w:szCs w:val="24"/>
        </w:rPr>
        <w:t xml:space="preserve">El mantenimiento preventivo se realizará al menos dos veces al año y/o de acuerdo a las necesidades que se presenten en cada Centro de Formación, Despacho Regional o Dirección General. </w:t>
      </w:r>
    </w:p>
    <w:p w14:paraId="2AEE6E86">
      <w:pPr>
        <w:spacing w:line="276" w:lineRule="auto"/>
        <w:rPr>
          <w:rFonts w:asciiTheme="minorHAnsi" w:hAnsiTheme="minorHAnsi" w:cstheme="minorHAnsi"/>
          <w:sz w:val="24"/>
          <w:szCs w:val="24"/>
        </w:rPr>
      </w:pPr>
    </w:p>
    <w:p w14:paraId="1812DC48">
      <w:pPr>
        <w:pStyle w:val="4"/>
        <w:numPr>
          <w:ilvl w:val="3"/>
          <w:numId w:val="50"/>
        </w:numPr>
        <w:spacing w:before="0"/>
        <w:rPr>
          <w:rFonts w:asciiTheme="minorHAnsi" w:hAnsiTheme="minorHAnsi" w:cstheme="minorHAnsi"/>
          <w:sz w:val="24"/>
          <w:szCs w:val="24"/>
        </w:rPr>
      </w:pPr>
      <w:bookmarkStart w:id="163" w:name="_Toc188966819"/>
      <w:r>
        <w:rPr>
          <w:rFonts w:asciiTheme="minorHAnsi" w:hAnsiTheme="minorHAnsi" w:cstheme="minorHAnsi"/>
          <w:sz w:val="24"/>
          <w:szCs w:val="24"/>
        </w:rPr>
        <w:t>Mantenimiento Correctivo</w:t>
      </w:r>
      <w:bookmarkEnd w:id="163"/>
    </w:p>
    <w:p w14:paraId="26996237">
      <w:pPr>
        <w:spacing w:line="276" w:lineRule="auto"/>
        <w:rPr>
          <w:rFonts w:asciiTheme="minorHAnsi" w:hAnsiTheme="minorHAnsi" w:cstheme="minorHAnsi"/>
          <w:sz w:val="24"/>
          <w:szCs w:val="24"/>
        </w:rPr>
      </w:pPr>
      <w:r>
        <w:rPr>
          <w:rFonts w:asciiTheme="minorHAnsi" w:hAnsiTheme="minorHAnsi" w:cstheme="minorHAnsi"/>
          <w:sz w:val="24"/>
          <w:szCs w:val="24"/>
        </w:rPr>
        <w:t>La necesidad de un mantenimiento correctivo está ligada, además de las fallas que se puedan presentar por el desgaste normal según las características propias de cada vehículo, a la forma y condiciones en que se opera. Entre las principales actividades de mantenimiento correctivo de vehículos, que se realizan cuando se presenta falla o alteración del funcionamiento normal o visual del vehículo, se encuentran entre otras.</w:t>
      </w:r>
    </w:p>
    <w:p w14:paraId="6559AA53">
      <w:pPr>
        <w:spacing w:line="276" w:lineRule="auto"/>
        <w:rPr>
          <w:rFonts w:asciiTheme="minorHAnsi" w:hAnsiTheme="minorHAnsi" w:cstheme="minorHAnsi"/>
          <w:b/>
          <w:sz w:val="24"/>
          <w:szCs w:val="24"/>
          <w:u w:val="single"/>
        </w:rPr>
      </w:pPr>
    </w:p>
    <w:p w14:paraId="3BE823E5">
      <w:pPr>
        <w:pStyle w:val="56"/>
        <w:spacing w:line="276" w:lineRule="auto"/>
        <w:jc w:val="both"/>
        <w:rPr>
          <w:rFonts w:asciiTheme="minorHAnsi" w:hAnsiTheme="minorHAnsi" w:cstheme="minorHAnsi"/>
          <w:sz w:val="24"/>
          <w:szCs w:val="24"/>
          <w:lang w:val="es-ES"/>
        </w:rPr>
      </w:pPr>
      <w:r>
        <w:rPr>
          <w:rFonts w:asciiTheme="minorHAnsi" w:hAnsiTheme="minorHAnsi" w:cstheme="minorHAnsi"/>
          <w:sz w:val="24"/>
          <w:szCs w:val="24"/>
          <w:lang w:val="es-ES"/>
        </w:rPr>
        <w:t>Estas actividades definen los servicios de mantenimiento periódicos necesarios para reponer el potencial de trabajo de las auto partes que con el paso del tiempo y uso (kilometraje) se van desajustando y desgastando.</w:t>
      </w:r>
    </w:p>
    <w:p w14:paraId="6C822D9B">
      <w:pPr>
        <w:pStyle w:val="56"/>
        <w:spacing w:line="276" w:lineRule="auto"/>
        <w:jc w:val="both"/>
        <w:rPr>
          <w:rFonts w:asciiTheme="minorHAnsi" w:hAnsiTheme="minorHAnsi" w:cstheme="minorHAnsi"/>
          <w:sz w:val="24"/>
          <w:szCs w:val="24"/>
          <w:lang w:val="es-ES"/>
        </w:rPr>
      </w:pPr>
    </w:p>
    <w:p w14:paraId="53B5D7B0">
      <w:pPr>
        <w:pStyle w:val="4"/>
        <w:numPr>
          <w:ilvl w:val="3"/>
          <w:numId w:val="50"/>
        </w:numPr>
        <w:spacing w:before="0"/>
        <w:rPr>
          <w:rFonts w:asciiTheme="minorHAnsi" w:hAnsiTheme="minorHAnsi" w:cstheme="minorHAnsi"/>
          <w:sz w:val="24"/>
          <w:szCs w:val="24"/>
        </w:rPr>
      </w:pPr>
      <w:bookmarkStart w:id="164" w:name="_Toc188966820"/>
      <w:r>
        <w:rPr>
          <w:rFonts w:asciiTheme="minorHAnsi" w:hAnsiTheme="minorHAnsi" w:cstheme="minorHAnsi"/>
          <w:sz w:val="24"/>
          <w:szCs w:val="24"/>
        </w:rPr>
        <w:t>Registro de los mantenimientos</w:t>
      </w:r>
      <w:bookmarkEnd w:id="164"/>
    </w:p>
    <w:p w14:paraId="62D22608">
      <w:pPr>
        <w:rPr>
          <w:lang w:val="es-ES" w:eastAsia="es-CO"/>
        </w:rPr>
      </w:pPr>
    </w:p>
    <w:p w14:paraId="0220706E">
      <w:pPr>
        <w:spacing w:line="276" w:lineRule="auto"/>
        <w:rPr>
          <w:rFonts w:asciiTheme="minorHAnsi" w:hAnsiTheme="minorHAnsi" w:cstheme="minorHAnsi"/>
          <w:sz w:val="24"/>
          <w:szCs w:val="24"/>
        </w:rPr>
      </w:pPr>
      <w:r>
        <w:rPr>
          <w:rFonts w:asciiTheme="minorHAnsi" w:hAnsiTheme="minorHAnsi" w:cstheme="minorHAnsi"/>
          <w:sz w:val="24"/>
          <w:szCs w:val="24"/>
        </w:rPr>
        <w:t>El delegado en cada Regional para el seguimiento de los mantenimientos de los vehículos en cada Centro, Sede o Subsede del SENA, tiene la responsabilidad directa de asegurar el registro en tiempos oportunos de los mantenimientos ejecutados, por contratistas o por personal directo de la institución, haciendo uso del Sistema de Información para el control del parque automotor del SENA-CRM.</w:t>
      </w:r>
      <w:bookmarkStart w:id="165" w:name="_Toc453839012"/>
    </w:p>
    <w:p w14:paraId="3185D83F">
      <w:pPr>
        <w:spacing w:line="276" w:lineRule="auto"/>
        <w:rPr>
          <w:rFonts w:asciiTheme="minorHAnsi" w:hAnsiTheme="minorHAnsi" w:cstheme="minorHAnsi"/>
          <w:sz w:val="24"/>
          <w:szCs w:val="24"/>
        </w:rPr>
      </w:pPr>
    </w:p>
    <w:p w14:paraId="180F0D50">
      <w:pPr>
        <w:pStyle w:val="4"/>
        <w:numPr>
          <w:ilvl w:val="3"/>
          <w:numId w:val="50"/>
        </w:numPr>
        <w:spacing w:before="0"/>
        <w:rPr>
          <w:rFonts w:asciiTheme="minorHAnsi" w:hAnsiTheme="minorHAnsi" w:cstheme="minorHAnsi"/>
          <w:sz w:val="24"/>
          <w:szCs w:val="24"/>
        </w:rPr>
      </w:pPr>
      <w:bookmarkStart w:id="166" w:name="_Toc519172540"/>
      <w:bookmarkStart w:id="167" w:name="_Toc188966821"/>
      <w:bookmarkStart w:id="168" w:name="_Toc485297491"/>
      <w:r>
        <w:rPr>
          <w:rFonts w:asciiTheme="minorHAnsi" w:hAnsiTheme="minorHAnsi" w:cstheme="minorHAnsi"/>
          <w:sz w:val="24"/>
          <w:szCs w:val="24"/>
        </w:rPr>
        <w:t>Idoneidad de los talleres</w:t>
      </w:r>
      <w:bookmarkEnd w:id="165"/>
      <w:bookmarkEnd w:id="166"/>
      <w:bookmarkEnd w:id="167"/>
      <w:bookmarkEnd w:id="168"/>
    </w:p>
    <w:p w14:paraId="147E7D9F">
      <w:pPr>
        <w:spacing w:line="276" w:lineRule="auto"/>
        <w:rPr>
          <w:rFonts w:asciiTheme="minorHAnsi" w:hAnsiTheme="minorHAnsi" w:cstheme="minorHAnsi"/>
          <w:sz w:val="24"/>
          <w:szCs w:val="24"/>
          <w:lang w:eastAsia="es-CO"/>
        </w:rPr>
      </w:pPr>
    </w:p>
    <w:p w14:paraId="53A60225">
      <w:pPr>
        <w:suppressAutoHyphens/>
        <w:spacing w:line="276" w:lineRule="auto"/>
        <w:rPr>
          <w:rFonts w:asciiTheme="minorHAnsi" w:hAnsiTheme="minorHAnsi" w:cstheme="minorHAnsi"/>
          <w:kern w:val="2"/>
          <w:sz w:val="24"/>
          <w:szCs w:val="24"/>
        </w:rPr>
      </w:pPr>
      <w:r>
        <w:rPr>
          <w:rFonts w:asciiTheme="minorHAnsi" w:hAnsiTheme="minorHAnsi" w:cstheme="minorHAnsi"/>
          <w:kern w:val="2"/>
          <w:sz w:val="24"/>
          <w:szCs w:val="24"/>
        </w:rPr>
        <w:t>Es importante que todos los mantenimientos ya sean de tipo preventivo y/o correctivo se realicen de acuerdo a las recomendaciones del fabricante y marca, en talleres que cuenten con la idoneidad por dicho tipo de marca y/o tipo de vehículo, en donde se pueda garantizar no solo la calidad de los repuestos, piezas o partes, sino que también con la calidad de la intervención. Para esto, la entidad dispone de los mecanismos para seleccionar proveedores o contratistas de acuerdo a parámetros definidos por la marca, tipo y tecnología, guiado por los protocolos y recomendaciones del fabricante de cada vehículo, con alcance a mantenimientos preventivos y correctivos, los cuáles serán validados con procesos de auditoría y que serán planificados en el programa de seguridad vial.</w:t>
      </w:r>
    </w:p>
    <w:p w14:paraId="1C5E9FF5">
      <w:pPr>
        <w:suppressAutoHyphens/>
        <w:spacing w:line="276" w:lineRule="auto"/>
        <w:rPr>
          <w:rFonts w:asciiTheme="minorHAnsi" w:hAnsiTheme="minorHAnsi" w:cstheme="minorHAnsi"/>
          <w:kern w:val="2"/>
          <w:sz w:val="24"/>
          <w:szCs w:val="24"/>
        </w:rPr>
      </w:pPr>
    </w:p>
    <w:p w14:paraId="22AD26ED">
      <w:pPr>
        <w:suppressAutoHyphens/>
        <w:spacing w:line="276" w:lineRule="auto"/>
        <w:rPr>
          <w:rFonts w:asciiTheme="minorHAnsi" w:hAnsiTheme="minorHAnsi" w:cstheme="minorHAnsi"/>
          <w:kern w:val="2"/>
          <w:sz w:val="24"/>
          <w:szCs w:val="24"/>
        </w:rPr>
      </w:pPr>
      <w:r>
        <w:rPr>
          <w:rFonts w:asciiTheme="minorHAnsi" w:hAnsiTheme="minorHAnsi" w:cstheme="minorHAnsi"/>
          <w:kern w:val="2"/>
          <w:sz w:val="24"/>
          <w:szCs w:val="24"/>
        </w:rPr>
        <w:t>Adicionalmente la entidad dispone de recurso humano interno idóneo, para la ejecución de actividades de mantenimiento menores.</w:t>
      </w:r>
    </w:p>
    <w:p w14:paraId="7F07310D">
      <w:pPr>
        <w:suppressAutoHyphens/>
        <w:spacing w:line="276" w:lineRule="auto"/>
        <w:rPr>
          <w:rFonts w:asciiTheme="minorHAnsi" w:hAnsiTheme="minorHAnsi" w:cstheme="minorHAnsi"/>
          <w:kern w:val="2"/>
          <w:sz w:val="24"/>
          <w:szCs w:val="24"/>
        </w:rPr>
      </w:pPr>
    </w:p>
    <w:p w14:paraId="1A31B21D">
      <w:pPr>
        <w:pStyle w:val="4"/>
        <w:numPr>
          <w:ilvl w:val="3"/>
          <w:numId w:val="50"/>
        </w:numPr>
        <w:spacing w:before="0"/>
        <w:rPr>
          <w:rFonts w:asciiTheme="minorHAnsi" w:hAnsiTheme="minorHAnsi" w:cstheme="minorHAnsi"/>
          <w:sz w:val="24"/>
          <w:szCs w:val="24"/>
        </w:rPr>
      </w:pPr>
      <w:bookmarkStart w:id="169" w:name="_Toc485297493"/>
      <w:bookmarkStart w:id="170" w:name="_Toc519172542"/>
      <w:bookmarkStart w:id="171" w:name="_Toc188966822"/>
      <w:bookmarkStart w:id="172" w:name="_Toc497841896"/>
      <w:r>
        <w:rPr>
          <w:rFonts w:asciiTheme="minorHAnsi" w:hAnsiTheme="minorHAnsi" w:cstheme="minorHAnsi"/>
          <w:sz w:val="24"/>
          <w:szCs w:val="24"/>
        </w:rPr>
        <w:t>Control de documentación de vehículos</w:t>
      </w:r>
      <w:bookmarkEnd w:id="169"/>
      <w:bookmarkEnd w:id="170"/>
      <w:bookmarkEnd w:id="171"/>
      <w:bookmarkEnd w:id="172"/>
    </w:p>
    <w:p w14:paraId="7F8AB076">
      <w:pPr>
        <w:spacing w:line="276" w:lineRule="auto"/>
        <w:rPr>
          <w:rFonts w:asciiTheme="minorHAnsi" w:hAnsiTheme="minorHAnsi" w:cstheme="minorHAnsi"/>
          <w:b/>
          <w:sz w:val="24"/>
          <w:szCs w:val="24"/>
        </w:rPr>
      </w:pPr>
    </w:p>
    <w:p w14:paraId="06A0AC56">
      <w:pPr>
        <w:spacing w:line="276" w:lineRule="auto"/>
        <w:rPr>
          <w:rFonts w:asciiTheme="minorHAnsi" w:hAnsiTheme="minorHAnsi" w:cstheme="minorHAnsi"/>
          <w:sz w:val="24"/>
          <w:szCs w:val="24"/>
        </w:rPr>
      </w:pPr>
      <w:r>
        <w:rPr>
          <w:rFonts w:asciiTheme="minorHAnsi" w:hAnsiTheme="minorHAnsi" w:cstheme="minorHAnsi"/>
          <w:sz w:val="24"/>
          <w:szCs w:val="24"/>
        </w:rPr>
        <w:t>La Coordinación de servicios generales de la Dirección General, delegará un responsable para consolidar y mantener actualizada una base de datos, que será alimentada de la información obtenida de cada Regional.</w:t>
      </w:r>
      <w:r>
        <w:rPr>
          <w:rFonts w:eastAsia="Calibri" w:asciiTheme="minorHAnsi" w:hAnsiTheme="minorHAnsi" w:cstheme="minorHAnsi"/>
          <w:sz w:val="24"/>
          <w:szCs w:val="24"/>
          <w:lang w:val="es-VE" w:eastAsia="en-US"/>
        </w:rPr>
        <w:t xml:space="preserve"> </w:t>
      </w:r>
      <w:r>
        <w:rPr>
          <w:rFonts w:asciiTheme="minorHAnsi" w:hAnsiTheme="minorHAnsi" w:cstheme="minorHAnsi"/>
          <w:sz w:val="24"/>
          <w:szCs w:val="24"/>
        </w:rPr>
        <w:t>Esta información será actualizada semestralmente o cuando se incorpore un nuevo vehículo a la flota.</w:t>
      </w:r>
    </w:p>
    <w:p w14:paraId="5D001052">
      <w:pPr>
        <w:spacing w:line="276" w:lineRule="auto"/>
        <w:rPr>
          <w:rFonts w:asciiTheme="minorHAnsi" w:hAnsiTheme="minorHAnsi" w:cstheme="minorHAnsi"/>
          <w:sz w:val="24"/>
          <w:szCs w:val="24"/>
        </w:rPr>
      </w:pPr>
    </w:p>
    <w:p w14:paraId="2F2FDAD8">
      <w:pPr>
        <w:spacing w:line="276" w:lineRule="auto"/>
        <w:rPr>
          <w:rFonts w:asciiTheme="minorHAnsi" w:hAnsiTheme="minorHAnsi" w:cstheme="minorHAnsi"/>
          <w:sz w:val="24"/>
          <w:szCs w:val="24"/>
        </w:rPr>
      </w:pPr>
      <w:r>
        <w:rPr>
          <w:rFonts w:asciiTheme="minorHAnsi" w:hAnsiTheme="minorHAnsi" w:cstheme="minorHAnsi"/>
          <w:sz w:val="24"/>
          <w:szCs w:val="24"/>
        </w:rPr>
        <w:t xml:space="preserve">Toda la información documental de los vehículos, que conforman el parque automotor del SENA, está cargada en forma digitalizada en el aplicativo CRM parque automotor, dispuesto por el Grupo de Servicios Generales y Adquisiciones. </w:t>
      </w:r>
    </w:p>
    <w:p w14:paraId="53F236BF">
      <w:pPr>
        <w:spacing w:line="276" w:lineRule="auto"/>
        <w:rPr>
          <w:rFonts w:asciiTheme="minorHAnsi" w:hAnsiTheme="minorHAnsi" w:cstheme="minorHAnsi"/>
          <w:sz w:val="24"/>
          <w:szCs w:val="24"/>
        </w:rPr>
      </w:pPr>
    </w:p>
    <w:p w14:paraId="59EB52B4">
      <w:pPr>
        <w:spacing w:line="276" w:lineRule="auto"/>
        <w:rPr>
          <w:rFonts w:asciiTheme="minorHAnsi" w:hAnsiTheme="minorHAnsi" w:cstheme="minorHAnsi"/>
          <w:sz w:val="24"/>
          <w:szCs w:val="24"/>
        </w:rPr>
      </w:pPr>
      <w:r>
        <w:rPr>
          <w:rFonts w:asciiTheme="minorHAnsi" w:hAnsiTheme="minorHAnsi" w:cstheme="minorHAnsi"/>
          <w:sz w:val="24"/>
          <w:szCs w:val="24"/>
        </w:rPr>
        <w:t>Para los conductores deberá disponerse de una carpeta física o digital a la que se le adjuntara la documentación completa del conductor, certificados de aptitud, registro de las capacitaciones, seguimiento a los comparendos, etc., con el cual el comité regional realizará el seguimiento y será parte de la caracterización para determinar las capacitaciones que deben realizarse a este personal.</w:t>
      </w:r>
    </w:p>
    <w:p w14:paraId="3F577BB5">
      <w:pPr>
        <w:suppressAutoHyphens/>
        <w:spacing w:line="276" w:lineRule="auto"/>
        <w:rPr>
          <w:rFonts w:asciiTheme="minorHAnsi" w:hAnsiTheme="minorHAnsi" w:cstheme="minorHAnsi"/>
          <w:kern w:val="2"/>
          <w:sz w:val="24"/>
          <w:szCs w:val="24"/>
        </w:rPr>
      </w:pPr>
    </w:p>
    <w:p w14:paraId="194749F8">
      <w:pPr>
        <w:pStyle w:val="3"/>
        <w:numPr>
          <w:ilvl w:val="1"/>
          <w:numId w:val="4"/>
        </w:numPr>
        <w:spacing w:after="0" w:line="276" w:lineRule="auto"/>
        <w:ind w:left="540" w:hanging="540"/>
        <w:rPr>
          <w:rFonts w:asciiTheme="minorHAnsi" w:hAnsiTheme="minorHAnsi" w:cstheme="minorHAnsi"/>
          <w:color w:val="auto"/>
          <w:sz w:val="24"/>
        </w:rPr>
      </w:pPr>
      <w:bookmarkStart w:id="173" w:name="_Toc188966823"/>
      <w:r>
        <w:rPr>
          <w:rFonts w:asciiTheme="minorHAnsi" w:hAnsiTheme="minorHAnsi" w:cstheme="minorHAnsi"/>
          <w:color w:val="auto"/>
          <w:sz w:val="24"/>
        </w:rPr>
        <w:t>GESTIÓN DE CAMBIO Y GESTIÓN DE CONTRATISTAS</w:t>
      </w:r>
      <w:bookmarkEnd w:id="173"/>
    </w:p>
    <w:p w14:paraId="7C604554">
      <w:pPr>
        <w:pStyle w:val="4"/>
        <w:numPr>
          <w:ilvl w:val="2"/>
          <w:numId w:val="52"/>
        </w:numPr>
        <w:spacing w:before="0"/>
        <w:rPr>
          <w:rFonts w:asciiTheme="minorHAnsi" w:hAnsiTheme="minorHAnsi" w:cstheme="minorHAnsi"/>
          <w:sz w:val="24"/>
          <w:szCs w:val="24"/>
        </w:rPr>
      </w:pPr>
      <w:bookmarkStart w:id="174" w:name="_Toc188966824"/>
      <w:r>
        <w:rPr>
          <w:rFonts w:asciiTheme="minorHAnsi" w:hAnsiTheme="minorHAnsi" w:cstheme="minorHAnsi"/>
          <w:sz w:val="24"/>
          <w:szCs w:val="24"/>
        </w:rPr>
        <w:t>GESTIÓN DE CAMBIO</w:t>
      </w:r>
      <w:bookmarkEnd w:id="174"/>
    </w:p>
    <w:p w14:paraId="02AE79DA">
      <w:pPr>
        <w:spacing w:line="276" w:lineRule="auto"/>
        <w:rPr>
          <w:rFonts w:asciiTheme="minorHAnsi" w:hAnsiTheme="minorHAnsi" w:cstheme="minorHAnsi"/>
          <w:b/>
          <w:sz w:val="24"/>
          <w:szCs w:val="24"/>
        </w:rPr>
      </w:pPr>
    </w:p>
    <w:p w14:paraId="416D1A92">
      <w:pPr>
        <w:rPr>
          <w:rFonts w:asciiTheme="minorHAnsi" w:hAnsiTheme="minorHAnsi" w:cstheme="minorHAnsi"/>
          <w:color w:val="00B050"/>
          <w:sz w:val="24"/>
          <w:szCs w:val="24"/>
        </w:rPr>
      </w:pPr>
      <w:bookmarkStart w:id="175" w:name="_Hlk141284567"/>
      <w:r>
        <w:rPr>
          <w:rFonts w:asciiTheme="minorHAnsi" w:hAnsiTheme="minorHAnsi" w:cstheme="minorHAnsi"/>
          <w:color w:val="00B050"/>
          <w:sz w:val="24"/>
          <w:szCs w:val="24"/>
        </w:rPr>
        <w:t>La organización cuenta con el procedimiento de gestión del cambio, el cual se encuentra integrado con el SG-SST, mediante el cual se evalúan los impactos que puedan generan cambios externos e internos en la seguridad vial los cuales pueden ser entre otros, los siguientes:</w:t>
      </w:r>
    </w:p>
    <w:p w14:paraId="1667EC11">
      <w:pPr>
        <w:rPr>
          <w:rFonts w:asciiTheme="minorHAnsi" w:hAnsiTheme="minorHAnsi" w:cstheme="minorHAnsi"/>
          <w:color w:val="00B050"/>
          <w:sz w:val="24"/>
          <w:szCs w:val="24"/>
        </w:rPr>
      </w:pPr>
    </w:p>
    <w:p w14:paraId="11A11C06">
      <w:pPr>
        <w:numPr>
          <w:ilvl w:val="0"/>
          <w:numId w:val="53"/>
        </w:numPr>
        <w:pBdr>
          <w:top w:val="none" w:color="auto" w:sz="0" w:space="0"/>
          <w:left w:val="none" w:color="auto" w:sz="0" w:space="0"/>
          <w:bottom w:val="none" w:color="auto" w:sz="0" w:space="0"/>
          <w:right w:val="none" w:color="auto" w:sz="0" w:space="0"/>
          <w:between w:val="none" w:color="auto" w:sz="0" w:space="0"/>
        </w:pBdr>
        <w:ind w:left="426"/>
        <w:rPr>
          <w:rFonts w:asciiTheme="minorHAnsi" w:hAnsiTheme="minorHAnsi" w:cstheme="minorHAnsi"/>
          <w:color w:val="00B050"/>
          <w:sz w:val="24"/>
          <w:szCs w:val="24"/>
        </w:rPr>
      </w:pPr>
      <w:r>
        <w:rPr>
          <w:rFonts w:asciiTheme="minorHAnsi" w:hAnsiTheme="minorHAnsi" w:cstheme="minorHAnsi"/>
          <w:color w:val="00B050"/>
          <w:sz w:val="24"/>
          <w:szCs w:val="24"/>
        </w:rPr>
        <w:t>Nuevas rutas</w:t>
      </w:r>
    </w:p>
    <w:p w14:paraId="6CBCC282">
      <w:pPr>
        <w:numPr>
          <w:ilvl w:val="0"/>
          <w:numId w:val="53"/>
        </w:numPr>
        <w:pBdr>
          <w:top w:val="none" w:color="auto" w:sz="0" w:space="0"/>
          <w:left w:val="none" w:color="auto" w:sz="0" w:space="0"/>
          <w:bottom w:val="none" w:color="auto" w:sz="0" w:space="0"/>
          <w:right w:val="none" w:color="auto" w:sz="0" w:space="0"/>
          <w:between w:val="none" w:color="auto" w:sz="0" w:space="0"/>
        </w:pBdr>
        <w:ind w:left="426"/>
        <w:rPr>
          <w:rFonts w:asciiTheme="minorHAnsi" w:hAnsiTheme="minorHAnsi" w:cstheme="minorHAnsi"/>
          <w:color w:val="00B050"/>
          <w:sz w:val="24"/>
          <w:szCs w:val="24"/>
        </w:rPr>
      </w:pPr>
      <w:r>
        <w:rPr>
          <w:rFonts w:asciiTheme="minorHAnsi" w:hAnsiTheme="minorHAnsi" w:cstheme="minorHAnsi"/>
          <w:color w:val="00B050"/>
          <w:sz w:val="24"/>
          <w:szCs w:val="24"/>
        </w:rPr>
        <w:t>Nuevas tecnologías para vehículos o equipos</w:t>
      </w:r>
    </w:p>
    <w:p w14:paraId="207ED523">
      <w:pPr>
        <w:numPr>
          <w:ilvl w:val="0"/>
          <w:numId w:val="53"/>
        </w:numPr>
        <w:pBdr>
          <w:top w:val="none" w:color="auto" w:sz="0" w:space="0"/>
          <w:left w:val="none" w:color="auto" w:sz="0" w:space="0"/>
          <w:bottom w:val="none" w:color="auto" w:sz="0" w:space="0"/>
          <w:right w:val="none" w:color="auto" w:sz="0" w:space="0"/>
          <w:between w:val="none" w:color="auto" w:sz="0" w:space="0"/>
        </w:pBdr>
        <w:ind w:left="426"/>
        <w:rPr>
          <w:rFonts w:asciiTheme="minorHAnsi" w:hAnsiTheme="minorHAnsi" w:cstheme="minorHAnsi"/>
          <w:color w:val="00B050"/>
          <w:sz w:val="24"/>
          <w:szCs w:val="24"/>
        </w:rPr>
      </w:pPr>
      <w:r>
        <w:rPr>
          <w:rFonts w:asciiTheme="minorHAnsi" w:hAnsiTheme="minorHAnsi" w:cstheme="minorHAnsi"/>
          <w:color w:val="00B050"/>
          <w:sz w:val="24"/>
          <w:szCs w:val="24"/>
        </w:rPr>
        <w:t>Nueva legislación</w:t>
      </w:r>
    </w:p>
    <w:p w14:paraId="3CC3665F">
      <w:pPr>
        <w:numPr>
          <w:ilvl w:val="0"/>
          <w:numId w:val="53"/>
        </w:numPr>
        <w:pBdr>
          <w:top w:val="none" w:color="auto" w:sz="0" w:space="0"/>
          <w:left w:val="none" w:color="auto" w:sz="0" w:space="0"/>
          <w:bottom w:val="none" w:color="auto" w:sz="0" w:space="0"/>
          <w:right w:val="none" w:color="auto" w:sz="0" w:space="0"/>
          <w:between w:val="none" w:color="auto" w:sz="0" w:space="0"/>
        </w:pBdr>
        <w:ind w:left="426"/>
        <w:rPr>
          <w:rFonts w:asciiTheme="minorHAnsi" w:hAnsiTheme="minorHAnsi" w:cstheme="minorHAnsi"/>
          <w:color w:val="00B050"/>
          <w:sz w:val="24"/>
          <w:szCs w:val="24"/>
        </w:rPr>
      </w:pPr>
      <w:r>
        <w:rPr>
          <w:rFonts w:asciiTheme="minorHAnsi" w:hAnsiTheme="minorHAnsi" w:cstheme="minorHAnsi"/>
          <w:color w:val="00B050"/>
          <w:sz w:val="24"/>
          <w:szCs w:val="24"/>
        </w:rPr>
        <w:t>Nuevos clientes</w:t>
      </w:r>
    </w:p>
    <w:p w14:paraId="2F3B2F5E">
      <w:pPr>
        <w:numPr>
          <w:ilvl w:val="0"/>
          <w:numId w:val="53"/>
        </w:numPr>
        <w:pBdr>
          <w:top w:val="none" w:color="auto" w:sz="0" w:space="0"/>
          <w:left w:val="none" w:color="auto" w:sz="0" w:space="0"/>
          <w:bottom w:val="none" w:color="auto" w:sz="0" w:space="0"/>
          <w:right w:val="none" w:color="auto" w:sz="0" w:space="0"/>
          <w:between w:val="none" w:color="auto" w:sz="0" w:space="0"/>
        </w:pBdr>
        <w:ind w:left="426"/>
        <w:rPr>
          <w:rFonts w:asciiTheme="minorHAnsi" w:hAnsiTheme="minorHAnsi" w:cstheme="minorHAnsi"/>
          <w:color w:val="00B050"/>
          <w:sz w:val="24"/>
          <w:szCs w:val="24"/>
        </w:rPr>
      </w:pPr>
      <w:r>
        <w:rPr>
          <w:rFonts w:asciiTheme="minorHAnsi" w:hAnsiTheme="minorHAnsi" w:cstheme="minorHAnsi"/>
          <w:color w:val="00B050"/>
          <w:sz w:val="24"/>
          <w:szCs w:val="24"/>
        </w:rPr>
        <w:t>Nuevos productos y servicios</w:t>
      </w:r>
    </w:p>
    <w:p w14:paraId="0C94EF5C">
      <w:pPr>
        <w:rPr>
          <w:rFonts w:asciiTheme="minorHAnsi" w:hAnsiTheme="minorHAnsi" w:cstheme="minorHAnsi"/>
          <w:color w:val="00B050"/>
          <w:sz w:val="24"/>
          <w:szCs w:val="24"/>
        </w:rPr>
      </w:pPr>
    </w:p>
    <w:p w14:paraId="48AF5777">
      <w:pPr>
        <w:rPr>
          <w:rFonts w:asciiTheme="minorHAnsi" w:hAnsiTheme="minorHAnsi" w:cstheme="minorHAnsi"/>
          <w:sz w:val="24"/>
          <w:szCs w:val="24"/>
        </w:rPr>
      </w:pPr>
      <w:r>
        <w:rPr>
          <w:rFonts w:asciiTheme="minorHAnsi" w:hAnsiTheme="minorHAnsi" w:cstheme="minorHAnsi"/>
          <w:color w:val="00B050"/>
          <w:sz w:val="24"/>
          <w:szCs w:val="24"/>
        </w:rPr>
        <w:t>El impacto de los cambios planeados y no planeados será analizado y gestionado previamente para prevenir riesgos y consecuencias en la seguridad vial de la organización</w:t>
      </w:r>
      <w:bookmarkEnd w:id="175"/>
      <w:r>
        <w:rPr>
          <w:rFonts w:asciiTheme="minorHAnsi" w:hAnsiTheme="minorHAnsi" w:cstheme="minorHAnsi"/>
          <w:sz w:val="24"/>
          <w:szCs w:val="24"/>
        </w:rPr>
        <w:t xml:space="preserve">. </w:t>
      </w:r>
    </w:p>
    <w:p w14:paraId="2B5CECFC">
      <w:pPr>
        <w:spacing w:line="276" w:lineRule="auto"/>
        <w:rPr>
          <w:rFonts w:asciiTheme="minorHAnsi" w:hAnsiTheme="minorHAnsi" w:cstheme="minorHAnsi"/>
          <w:b/>
          <w:sz w:val="24"/>
          <w:szCs w:val="24"/>
        </w:rPr>
      </w:pPr>
    </w:p>
    <w:p w14:paraId="3044E7A9">
      <w:pPr>
        <w:pStyle w:val="4"/>
        <w:numPr>
          <w:ilvl w:val="2"/>
          <w:numId w:val="52"/>
        </w:numPr>
        <w:spacing w:before="0"/>
        <w:rPr>
          <w:rFonts w:asciiTheme="minorHAnsi" w:hAnsiTheme="minorHAnsi" w:cstheme="minorHAnsi"/>
          <w:sz w:val="24"/>
          <w:szCs w:val="24"/>
        </w:rPr>
      </w:pPr>
      <w:bookmarkStart w:id="176" w:name="_Toc188966825"/>
      <w:r>
        <w:rPr>
          <w:rFonts w:asciiTheme="minorHAnsi" w:hAnsiTheme="minorHAnsi" w:cstheme="minorHAnsi"/>
          <w:sz w:val="24"/>
          <w:szCs w:val="24"/>
        </w:rPr>
        <w:t>GESTIÓN DE CONTRATISTAS</w:t>
      </w:r>
      <w:bookmarkEnd w:id="176"/>
    </w:p>
    <w:p w14:paraId="3878D525">
      <w:pPr>
        <w:suppressAutoHyphens/>
        <w:spacing w:line="276" w:lineRule="auto"/>
        <w:rPr>
          <w:rFonts w:asciiTheme="minorHAnsi" w:hAnsiTheme="minorHAnsi" w:cstheme="minorHAnsi"/>
          <w:bCs/>
          <w:color w:val="00B050"/>
          <w:sz w:val="24"/>
          <w:szCs w:val="24"/>
        </w:rPr>
      </w:pPr>
      <w:r>
        <w:rPr>
          <w:rFonts w:asciiTheme="minorHAnsi" w:hAnsiTheme="minorHAnsi" w:cstheme="minorHAnsi"/>
          <w:color w:val="00B050"/>
          <w:sz w:val="24"/>
          <w:szCs w:val="24"/>
        </w:rPr>
        <w:t xml:space="preserve">Los requisitos de contratación para proveedores y contratistas SENA, están establecidos en el documento de </w:t>
      </w:r>
      <w:r>
        <w:rPr>
          <w:rFonts w:asciiTheme="minorHAnsi" w:hAnsiTheme="minorHAnsi" w:cstheme="minorHAnsi"/>
          <w:bCs/>
          <w:color w:val="00B050"/>
          <w:sz w:val="24"/>
          <w:szCs w:val="24"/>
        </w:rPr>
        <w:t xml:space="preserve">Requisitos ambientales y de seguridad y salud en el trabajo para la compra de productos y servicios, el cual da alcance a requisitos en seguridad vial. </w:t>
      </w:r>
    </w:p>
    <w:p w14:paraId="7D3226D2">
      <w:pPr>
        <w:suppressAutoHyphens/>
        <w:spacing w:line="276" w:lineRule="auto"/>
        <w:rPr>
          <w:rFonts w:asciiTheme="minorHAnsi" w:hAnsiTheme="minorHAnsi" w:cstheme="minorHAnsi"/>
          <w:bCs/>
          <w:color w:val="00B050"/>
          <w:sz w:val="24"/>
          <w:szCs w:val="24"/>
        </w:rPr>
      </w:pPr>
    </w:p>
    <w:p w14:paraId="48AF1F7B">
      <w:pPr>
        <w:spacing w:line="276" w:lineRule="auto"/>
        <w:rPr>
          <w:rFonts w:eastAsia="font285" w:asciiTheme="minorHAnsi" w:hAnsiTheme="minorHAnsi" w:cstheme="minorHAnsi"/>
          <w:sz w:val="24"/>
          <w:szCs w:val="24"/>
          <w:lang w:eastAsia="es-CO"/>
        </w:rPr>
      </w:pPr>
      <w:r>
        <w:rPr>
          <w:rFonts w:eastAsia="font285" w:asciiTheme="minorHAnsi" w:hAnsiTheme="minorHAnsi" w:cstheme="minorHAnsi"/>
          <w:sz w:val="24"/>
          <w:szCs w:val="24"/>
          <w:lang w:eastAsia="es-CO"/>
        </w:rPr>
        <w:t xml:space="preserve">El SENA permite la contratación de prestación de servicios de transporte en varias modalidades (transporte de personas, carga, materiales peligrosos, etc.) en todos los casos debe realizarse evaluación de contratistas para la prestación del servicio y en cumplimiento de los requisitos y requerimientos de ley y normas aplicables vigentes en todo el territorio nacional y/o particular de cada Regional de acuerdo al tipo de transporte y/o del vehículo. </w:t>
      </w:r>
    </w:p>
    <w:p w14:paraId="0157A00F">
      <w:pPr>
        <w:spacing w:line="276" w:lineRule="auto"/>
        <w:rPr>
          <w:rFonts w:eastAsia="font285" w:asciiTheme="minorHAnsi" w:hAnsiTheme="minorHAnsi" w:cstheme="minorHAnsi"/>
          <w:sz w:val="24"/>
          <w:szCs w:val="24"/>
          <w:lang w:eastAsia="es-CO"/>
        </w:rPr>
      </w:pPr>
    </w:p>
    <w:p w14:paraId="19A401EB">
      <w:pPr>
        <w:spacing w:line="276" w:lineRule="auto"/>
        <w:rPr>
          <w:rFonts w:eastAsia="font285" w:asciiTheme="minorHAnsi" w:hAnsiTheme="minorHAnsi" w:cstheme="minorHAnsi"/>
          <w:sz w:val="24"/>
          <w:szCs w:val="24"/>
        </w:rPr>
      </w:pPr>
      <w:r>
        <w:rPr>
          <w:rFonts w:eastAsia="font285" w:asciiTheme="minorHAnsi" w:hAnsiTheme="minorHAnsi" w:cstheme="minorHAnsi"/>
          <w:sz w:val="24"/>
          <w:szCs w:val="24"/>
        </w:rPr>
        <w:t>En todos los casos deberá verificarse si se encuentra obligado a cumplir con la implementación de un Plan Estratégico de Seguridad Vial, los cuales deberán alinearse a lo establecido en el presente plan y estar prestos a cualquier información y observación realizada por los comités regionales o el comité nacional.</w:t>
      </w:r>
    </w:p>
    <w:p w14:paraId="3F4EAF7D">
      <w:pPr>
        <w:suppressAutoHyphens/>
        <w:spacing w:line="276" w:lineRule="auto"/>
        <w:rPr>
          <w:rFonts w:asciiTheme="minorHAnsi" w:hAnsiTheme="minorHAnsi" w:cstheme="minorHAnsi"/>
          <w:bCs/>
          <w:color w:val="00B050"/>
          <w:sz w:val="24"/>
          <w:szCs w:val="24"/>
        </w:rPr>
      </w:pPr>
    </w:p>
    <w:p w14:paraId="308ABDD0">
      <w:pPr>
        <w:suppressAutoHyphens/>
        <w:spacing w:line="276" w:lineRule="auto"/>
        <w:rPr>
          <w:rFonts w:asciiTheme="minorHAnsi" w:hAnsiTheme="minorHAnsi" w:cstheme="minorHAnsi"/>
          <w:sz w:val="24"/>
          <w:szCs w:val="24"/>
          <w:lang w:eastAsia="es-CO"/>
        </w:rPr>
      </w:pPr>
      <w:r>
        <w:rPr>
          <w:rFonts w:asciiTheme="minorHAnsi" w:hAnsiTheme="minorHAnsi" w:cstheme="minorHAnsi"/>
          <w:sz w:val="24"/>
          <w:szCs w:val="24"/>
          <w:lang w:eastAsia="es-CO"/>
        </w:rPr>
        <w:t xml:space="preserve">El SENA informara al CONTRATISTA por los medios establecidos para tal, que es parte de sus responsabilidades dar estricto cumplimiento, a: (i) las obligaciones legales vigentes al inicio y en todo el periodo de vigencia de la relación contractual, (ii) la aplicación de los normas y códigos técnicos más óptimos, (iii) la implementación de las buenas prácticas de la industria, y (iv) las mejores prácticas de otra índole que sean necesarias  para la realización de los desplazamientos de forma segura y sostenible. Así mismo, EL CONTRATISTA deberá dar a conocer el PESV a sus empleados, contratistas, subcontratistas, proveedores, visitantes y en general sus diferentes grupos de interés involucrados en su cadena de suministro y ciclo de vida contractual, preservando el único objetivo de cumplir el contrato con el SENA y el estricto cumplimiento de la normatividad vigente en Colombia. </w:t>
      </w:r>
    </w:p>
    <w:p w14:paraId="29AEB76C">
      <w:pPr>
        <w:spacing w:line="276" w:lineRule="auto"/>
        <w:rPr>
          <w:rFonts w:eastAsia="font285" w:asciiTheme="minorHAnsi" w:hAnsiTheme="minorHAnsi" w:cstheme="minorHAnsi"/>
          <w:sz w:val="24"/>
          <w:szCs w:val="24"/>
          <w:lang w:eastAsia="es-CO"/>
        </w:rPr>
      </w:pPr>
    </w:p>
    <w:p w14:paraId="3C07CE59">
      <w:pPr>
        <w:pStyle w:val="3"/>
        <w:numPr>
          <w:ilvl w:val="1"/>
          <w:numId w:val="4"/>
        </w:numPr>
        <w:spacing w:after="0" w:line="276" w:lineRule="auto"/>
        <w:ind w:left="540" w:hanging="540"/>
        <w:rPr>
          <w:rFonts w:asciiTheme="minorHAnsi" w:hAnsiTheme="minorHAnsi" w:cstheme="minorHAnsi"/>
          <w:color w:val="auto"/>
          <w:sz w:val="24"/>
        </w:rPr>
      </w:pPr>
      <w:bookmarkStart w:id="177" w:name="_Toc188966826"/>
      <w:r>
        <w:rPr>
          <w:rFonts w:asciiTheme="minorHAnsi" w:hAnsiTheme="minorHAnsi" w:cstheme="minorHAnsi"/>
          <w:color w:val="auto"/>
          <w:sz w:val="24"/>
        </w:rPr>
        <w:t>ARCHIVO Y RETENCIÓN DOCUMENTAL</w:t>
      </w:r>
      <w:bookmarkEnd w:id="177"/>
    </w:p>
    <w:p w14:paraId="1A6F5A67">
      <w:pPr>
        <w:rPr>
          <w:rFonts w:asciiTheme="minorHAnsi" w:hAnsiTheme="minorHAnsi" w:cstheme="minorHAnsi"/>
          <w:color w:val="00B050"/>
          <w:sz w:val="24"/>
          <w:szCs w:val="24"/>
          <w:lang w:eastAsia="es-CO"/>
        </w:rPr>
      </w:pPr>
      <w:r>
        <w:rPr>
          <w:rFonts w:asciiTheme="minorHAnsi" w:hAnsiTheme="minorHAnsi" w:cstheme="minorHAnsi"/>
          <w:color w:val="00B050"/>
          <w:sz w:val="24"/>
          <w:szCs w:val="24"/>
          <w:lang w:eastAsia="es-CO"/>
        </w:rPr>
        <w:t xml:space="preserve">El SENA ha establecido dentro de su sistema de gestión y Autocontrol-SIGA el procedimiento para mantener disponible, debidamente controlada y actualizada la documentación del Plan Estratégico de Seguridad Vial, el cual se encuentra articulado con el SGSST, se cuenta con un listado maestro de documentos y registros donde se establece la retención documental de registros y evidencias que soportan la implementación del PESV, asegurando su identificación, legibilidad, accesibilidad y protección contra daños o pérdida, los cuales se almacenarán al menos por cinco (5) años; excepto los registros de las inspecciones preoperacionales que deben ser almacenados por un (1) año. </w:t>
      </w:r>
    </w:p>
    <w:p w14:paraId="046C631A">
      <w:pPr>
        <w:spacing w:line="276" w:lineRule="auto"/>
        <w:rPr>
          <w:rFonts w:asciiTheme="minorHAnsi" w:hAnsiTheme="minorHAnsi" w:cstheme="minorHAnsi"/>
          <w:sz w:val="24"/>
          <w:szCs w:val="24"/>
          <w:lang w:eastAsia="es-CO"/>
        </w:rPr>
      </w:pPr>
    </w:p>
    <w:p w14:paraId="0EE39F72">
      <w:pPr>
        <w:autoSpaceDE w:val="0"/>
        <w:autoSpaceDN w:val="0"/>
        <w:adjustRightInd w:val="0"/>
        <w:spacing w:line="276" w:lineRule="auto"/>
        <w:rPr>
          <w:rFonts w:eastAsia="Calibri" w:asciiTheme="minorHAnsi" w:hAnsiTheme="minorHAnsi" w:cstheme="minorHAnsi"/>
          <w:sz w:val="24"/>
          <w:szCs w:val="24"/>
        </w:rPr>
      </w:pPr>
      <w:r>
        <w:rPr>
          <w:rFonts w:eastAsia="Calibri" w:asciiTheme="minorHAnsi" w:hAnsiTheme="minorHAnsi" w:cstheme="minorHAnsi"/>
          <w:sz w:val="24"/>
          <w:szCs w:val="24"/>
        </w:rPr>
        <w:t>El Sena dará cumplimiento a la Ley 1581 de 2012 en cuanto a la protección de datos personales y recopilará información sobre sus conductores y vehículos en la plataforma CRM, responsabilidad de cada Director Regional o a quien haya delegado para tal fin.</w:t>
      </w:r>
    </w:p>
    <w:p w14:paraId="05B642A2">
      <w:pPr>
        <w:suppressAutoHyphens/>
        <w:spacing w:line="276" w:lineRule="auto"/>
        <w:rPr>
          <w:rFonts w:asciiTheme="minorHAnsi" w:hAnsiTheme="minorHAnsi" w:cstheme="minorHAnsi"/>
          <w:b/>
          <w:bCs/>
          <w:sz w:val="24"/>
          <w:szCs w:val="24"/>
          <w:lang w:eastAsia="es-CO"/>
        </w:rPr>
      </w:pPr>
    </w:p>
    <w:p w14:paraId="1C39EB82">
      <w:pPr>
        <w:pStyle w:val="2"/>
        <w:numPr>
          <w:ilvl w:val="0"/>
          <w:numId w:val="4"/>
        </w:numPr>
        <w:spacing w:after="0" w:line="276" w:lineRule="auto"/>
        <w:rPr>
          <w:rFonts w:asciiTheme="minorHAnsi" w:hAnsiTheme="minorHAnsi" w:cstheme="minorHAnsi"/>
          <w:color w:val="000000" w:themeColor="text1"/>
          <w:sz w:val="24"/>
          <w14:textFill>
            <w14:solidFill>
              <w14:schemeClr w14:val="tx1"/>
            </w14:solidFill>
          </w14:textFill>
        </w:rPr>
      </w:pPr>
      <w:bookmarkStart w:id="178" w:name="_Toc188966827"/>
      <w:r>
        <w:rPr>
          <w:rFonts w:asciiTheme="minorHAnsi" w:hAnsiTheme="minorHAnsi" w:cstheme="minorHAnsi"/>
          <w:color w:val="000000" w:themeColor="text1"/>
          <w:sz w:val="24"/>
          <w14:textFill>
            <w14:solidFill>
              <w14:schemeClr w14:val="tx1"/>
            </w14:solidFill>
          </w14:textFill>
        </w:rPr>
        <w:t>SEGUIMIENTO Y EVALUACIÓN DEL PLAN ESTRATEGICO DE SEGURIDAD VIAL</w:t>
      </w:r>
      <w:bookmarkEnd w:id="178"/>
    </w:p>
    <w:p w14:paraId="5C42EF66">
      <w:pPr>
        <w:pStyle w:val="3"/>
        <w:numPr>
          <w:ilvl w:val="1"/>
          <w:numId w:val="4"/>
        </w:numPr>
        <w:spacing w:after="0" w:line="276" w:lineRule="auto"/>
        <w:ind w:left="540" w:hanging="540"/>
        <w:rPr>
          <w:rFonts w:asciiTheme="minorHAnsi" w:hAnsiTheme="minorHAnsi" w:cstheme="minorHAnsi"/>
          <w:color w:val="auto"/>
          <w:sz w:val="24"/>
        </w:rPr>
      </w:pPr>
      <w:bookmarkStart w:id="179" w:name="_Toc188966828"/>
      <w:r>
        <w:rPr>
          <w:rFonts w:asciiTheme="minorHAnsi" w:hAnsiTheme="minorHAnsi" w:cstheme="minorHAnsi"/>
          <w:color w:val="auto"/>
          <w:sz w:val="24"/>
        </w:rPr>
        <w:t>INDICADORES Y REPORTE DE AUTOGESTIÓN PESV</w:t>
      </w:r>
      <w:bookmarkEnd w:id="179"/>
    </w:p>
    <w:p w14:paraId="200681E3">
      <w:pPr>
        <w:pStyle w:val="4"/>
        <w:numPr>
          <w:ilvl w:val="2"/>
          <w:numId w:val="54"/>
        </w:numPr>
        <w:spacing w:before="0"/>
        <w:rPr>
          <w:rFonts w:asciiTheme="minorHAnsi" w:hAnsiTheme="minorHAnsi" w:cstheme="minorHAnsi"/>
          <w:sz w:val="24"/>
          <w:szCs w:val="24"/>
        </w:rPr>
      </w:pPr>
      <w:bookmarkStart w:id="180" w:name="_Toc188966829"/>
      <w:r>
        <w:rPr>
          <w:rFonts w:asciiTheme="minorHAnsi" w:hAnsiTheme="minorHAnsi" w:cstheme="minorHAnsi"/>
          <w:sz w:val="24"/>
          <w:szCs w:val="24"/>
        </w:rPr>
        <w:t>INDICADORES DE GESTIÓN PESV</w:t>
      </w:r>
      <w:bookmarkEnd w:id="180"/>
    </w:p>
    <w:p w14:paraId="547F4A7A">
      <w:pPr>
        <w:suppressAutoHyphens/>
        <w:spacing w:line="276" w:lineRule="auto"/>
        <w:rPr>
          <w:rFonts w:asciiTheme="minorHAnsi" w:hAnsiTheme="minorHAnsi" w:cstheme="minorHAnsi"/>
          <w:sz w:val="24"/>
          <w:szCs w:val="24"/>
          <w:lang w:eastAsia="es-CO"/>
        </w:rPr>
      </w:pPr>
    </w:p>
    <w:p w14:paraId="166FDB38">
      <w:pPr>
        <w:suppressAutoHyphens/>
        <w:spacing w:line="276" w:lineRule="auto"/>
        <w:rPr>
          <w:rFonts w:asciiTheme="minorHAnsi" w:hAnsiTheme="minorHAnsi" w:cstheme="minorHAnsi"/>
          <w:kern w:val="2"/>
          <w:sz w:val="24"/>
          <w:szCs w:val="24"/>
        </w:rPr>
      </w:pPr>
      <w:r>
        <w:rPr>
          <w:rFonts w:asciiTheme="minorHAnsi" w:hAnsiTheme="minorHAnsi" w:cstheme="minorHAnsi"/>
          <w:kern w:val="2"/>
          <w:sz w:val="24"/>
          <w:szCs w:val="24"/>
        </w:rPr>
        <w:t>En función de los objetivos específicos definidos se</w:t>
      </w:r>
      <w:r>
        <w:rPr>
          <w:rFonts w:asciiTheme="minorHAnsi" w:hAnsiTheme="minorHAnsi" w:cstheme="minorHAnsi"/>
          <w:color w:val="00B050"/>
          <w:kern w:val="2"/>
          <w:sz w:val="24"/>
          <w:szCs w:val="24"/>
        </w:rPr>
        <w:t xml:space="preserve"> alinearon a </w:t>
      </w:r>
      <w:r>
        <w:rPr>
          <w:rFonts w:asciiTheme="minorHAnsi" w:hAnsiTheme="minorHAnsi" w:cstheme="minorHAnsi"/>
          <w:kern w:val="2"/>
          <w:sz w:val="24"/>
          <w:szCs w:val="24"/>
        </w:rPr>
        <w:t>los indicadores de gestión</w:t>
      </w:r>
      <w:r>
        <w:rPr>
          <w:rFonts w:asciiTheme="minorHAnsi" w:hAnsiTheme="minorHAnsi" w:cstheme="minorHAnsi"/>
          <w:color w:val="00B050"/>
          <w:kern w:val="2"/>
          <w:sz w:val="24"/>
          <w:szCs w:val="24"/>
        </w:rPr>
        <w:t xml:space="preserve"> obligatorios establecidos en el Paso 20</w:t>
      </w:r>
      <w:r>
        <w:rPr>
          <w:rFonts w:asciiTheme="minorHAnsi" w:hAnsiTheme="minorHAnsi" w:cstheme="minorHAnsi"/>
          <w:kern w:val="2"/>
          <w:sz w:val="24"/>
          <w:szCs w:val="24"/>
        </w:rPr>
        <w:t xml:space="preserve">, a los cuales se hará seguimiento en el </w:t>
      </w:r>
      <w:r>
        <w:rPr>
          <w:rFonts w:asciiTheme="minorHAnsi" w:hAnsiTheme="minorHAnsi" w:cstheme="minorHAnsi"/>
          <w:color w:val="00B050"/>
          <w:kern w:val="2"/>
          <w:sz w:val="24"/>
          <w:szCs w:val="24"/>
        </w:rPr>
        <w:t xml:space="preserve">Plan estratégico </w:t>
      </w:r>
      <w:r>
        <w:rPr>
          <w:rFonts w:asciiTheme="minorHAnsi" w:hAnsiTheme="minorHAnsi" w:cstheme="minorHAnsi"/>
          <w:kern w:val="2"/>
          <w:sz w:val="24"/>
          <w:szCs w:val="24"/>
        </w:rPr>
        <w:t>de seguridad vial.</w:t>
      </w:r>
    </w:p>
    <w:p w14:paraId="5C39AB8A">
      <w:pPr>
        <w:suppressAutoHyphens/>
        <w:spacing w:line="276" w:lineRule="auto"/>
        <w:rPr>
          <w:rFonts w:asciiTheme="minorHAnsi" w:hAnsiTheme="minorHAnsi" w:cstheme="minorHAnsi"/>
          <w:kern w:val="2"/>
          <w:sz w:val="24"/>
          <w:szCs w:val="24"/>
        </w:rPr>
      </w:pPr>
    </w:p>
    <w:p w14:paraId="2B76AFD1">
      <w:pPr>
        <w:suppressAutoHyphens/>
        <w:spacing w:line="276" w:lineRule="auto"/>
        <w:rPr>
          <w:rFonts w:asciiTheme="minorHAnsi" w:hAnsiTheme="minorHAnsi" w:cstheme="minorHAnsi"/>
          <w:kern w:val="2"/>
          <w:sz w:val="24"/>
          <w:szCs w:val="24"/>
        </w:rPr>
      </w:pPr>
      <w:r>
        <w:rPr>
          <w:rFonts w:asciiTheme="minorHAnsi" w:hAnsiTheme="minorHAnsi" w:cstheme="minorHAnsi"/>
          <w:kern w:val="2"/>
          <w:sz w:val="24"/>
          <w:szCs w:val="24"/>
        </w:rPr>
        <w:t xml:space="preserve">Estos indicadores serán monitoreados por el </w:t>
      </w:r>
      <w:r>
        <w:rPr>
          <w:rFonts w:asciiTheme="minorHAnsi" w:hAnsiTheme="minorHAnsi" w:cstheme="minorHAnsi"/>
          <w:color w:val="00B050"/>
          <w:kern w:val="2"/>
          <w:sz w:val="24"/>
          <w:szCs w:val="24"/>
        </w:rPr>
        <w:t>Líder</w:t>
      </w:r>
      <w:r>
        <w:rPr>
          <w:rFonts w:asciiTheme="minorHAnsi" w:hAnsiTheme="minorHAnsi" w:cstheme="minorHAnsi"/>
          <w:kern w:val="2"/>
          <w:sz w:val="24"/>
          <w:szCs w:val="24"/>
        </w:rPr>
        <w:t xml:space="preserve"> del PESV, quien deberá presentar rendición de cuentas del avance obtenido para las acciones definidas anualmente.</w:t>
      </w:r>
    </w:p>
    <w:p w14:paraId="55A6B4C8">
      <w:pPr>
        <w:suppressAutoHyphens/>
        <w:spacing w:line="276" w:lineRule="auto"/>
        <w:rPr>
          <w:rFonts w:asciiTheme="minorHAnsi" w:hAnsiTheme="minorHAnsi" w:cstheme="minorHAnsi"/>
          <w:kern w:val="2"/>
          <w:sz w:val="24"/>
          <w:szCs w:val="24"/>
        </w:rPr>
      </w:pPr>
    </w:p>
    <w:p w14:paraId="0D7AE1E0">
      <w:pPr>
        <w:rPr>
          <w:rFonts w:asciiTheme="minorHAnsi" w:hAnsiTheme="minorHAnsi" w:cstheme="minorHAnsi"/>
          <w:kern w:val="2"/>
          <w:sz w:val="24"/>
          <w:szCs w:val="24"/>
        </w:rPr>
      </w:pPr>
      <w:r>
        <w:rPr>
          <w:rFonts w:asciiTheme="minorHAnsi" w:hAnsiTheme="minorHAnsi" w:cstheme="minorHAnsi"/>
          <w:kern w:val="2"/>
          <w:sz w:val="24"/>
          <w:szCs w:val="24"/>
        </w:rPr>
        <w:t>La organización define el protocolo para el manejo de los indicadores que le permite realizar seguimiento, medición, análisis y evaluación en la gestión de la seguridad vial, los cuales se relacionan con la planificación, implementación, seguimiento y mejora del Plan Estratégico de Seguridad Vial.</w:t>
      </w:r>
    </w:p>
    <w:p w14:paraId="0C9A1095">
      <w:pPr>
        <w:suppressAutoHyphens/>
        <w:spacing w:line="276" w:lineRule="auto"/>
        <w:rPr>
          <w:rFonts w:asciiTheme="minorHAnsi" w:hAnsiTheme="minorHAnsi" w:cstheme="minorHAnsi"/>
          <w:kern w:val="2"/>
          <w:sz w:val="24"/>
          <w:szCs w:val="24"/>
        </w:rPr>
      </w:pPr>
    </w:p>
    <w:p w14:paraId="5ECAFA8F">
      <w:pPr>
        <w:pStyle w:val="4"/>
        <w:numPr>
          <w:ilvl w:val="2"/>
          <w:numId w:val="54"/>
        </w:numPr>
        <w:spacing w:before="0"/>
        <w:rPr>
          <w:rFonts w:asciiTheme="minorHAnsi" w:hAnsiTheme="minorHAnsi" w:cstheme="minorHAnsi"/>
          <w:sz w:val="24"/>
          <w:szCs w:val="24"/>
        </w:rPr>
      </w:pPr>
      <w:bookmarkStart w:id="181" w:name="_Toc188966830"/>
      <w:r>
        <w:rPr>
          <w:rFonts w:asciiTheme="minorHAnsi" w:hAnsiTheme="minorHAnsi" w:cstheme="minorHAnsi"/>
          <w:sz w:val="24"/>
          <w:szCs w:val="24"/>
        </w:rPr>
        <w:t>REPORTE DE AUTOGESTIÓN PESV</w:t>
      </w:r>
      <w:bookmarkEnd w:id="181"/>
    </w:p>
    <w:p w14:paraId="7D4A6522">
      <w:pPr>
        <w:suppressAutoHyphens/>
        <w:spacing w:line="276" w:lineRule="auto"/>
        <w:rPr>
          <w:rFonts w:asciiTheme="minorHAnsi" w:hAnsiTheme="minorHAnsi" w:cstheme="minorHAnsi"/>
          <w:sz w:val="24"/>
          <w:szCs w:val="24"/>
          <w:lang w:eastAsia="es-CO"/>
        </w:rPr>
      </w:pPr>
    </w:p>
    <w:p w14:paraId="1BCC58FD">
      <w:pPr>
        <w:rPr>
          <w:rFonts w:eastAsia="Calibri" w:asciiTheme="minorHAnsi" w:hAnsiTheme="minorHAnsi" w:cstheme="minorHAnsi"/>
          <w:color w:val="00B050"/>
          <w:sz w:val="24"/>
          <w:szCs w:val="24"/>
          <w:lang w:eastAsia="en-US"/>
        </w:rPr>
      </w:pPr>
      <w:r>
        <w:rPr>
          <w:rFonts w:eastAsia="Calibri" w:asciiTheme="minorHAnsi" w:hAnsiTheme="minorHAnsi" w:cstheme="minorHAnsi"/>
          <w:color w:val="00B050"/>
          <w:sz w:val="24"/>
          <w:szCs w:val="24"/>
          <w:lang w:eastAsia="en-US"/>
        </w:rPr>
        <w:t>El SENA presenta el reporte de autogestión del PESV al ente verificador establecido por la Resolución 40595 de 2022, de manera anual acorde con los canales establecidos por el mismo y dentro de los tiempos establecidos normativamente, acorde con el paso 20 y lo descrito en el presente documento, e incluyen los resultados de medición y análisis de indicadores de gestión del PESV, la información que se lista a continuación y demás aspectos adicionales indicados por dicha entidad con corte al 31 de diciembre de cada año, con plazo máximo a realizar el 31 de enero de cada año:</w:t>
      </w:r>
    </w:p>
    <w:p w14:paraId="6F7991E6">
      <w:pPr>
        <w:rPr>
          <w:rFonts w:eastAsia="Calibri" w:asciiTheme="minorHAnsi" w:hAnsiTheme="minorHAnsi" w:cstheme="minorHAnsi"/>
          <w:color w:val="00B050"/>
          <w:sz w:val="24"/>
          <w:szCs w:val="24"/>
          <w:lang w:eastAsia="en-US"/>
        </w:rPr>
      </w:pPr>
    </w:p>
    <w:p w14:paraId="097EAE44">
      <w:pPr>
        <w:pStyle w:val="51"/>
        <w:numPr>
          <w:ilvl w:val="0"/>
          <w:numId w:val="55"/>
        </w:numPr>
        <w:rPr>
          <w:rFonts w:asciiTheme="minorHAnsi" w:hAnsiTheme="minorHAnsi" w:cstheme="minorHAnsi"/>
          <w:color w:val="00B050"/>
          <w:sz w:val="24"/>
          <w:szCs w:val="24"/>
        </w:rPr>
      </w:pPr>
      <w:r>
        <w:rPr>
          <w:rFonts w:asciiTheme="minorHAnsi" w:hAnsiTheme="minorHAnsi" w:cstheme="minorHAnsi"/>
          <w:color w:val="00B050"/>
          <w:sz w:val="24"/>
          <w:szCs w:val="24"/>
        </w:rPr>
        <w:t xml:space="preserve">Razón social o nombre, Nit, Dirección y Teléfono del domicilio o sede principal de la empresa, entidad u organización. </w:t>
      </w:r>
    </w:p>
    <w:p w14:paraId="5BF01DB3">
      <w:pPr>
        <w:pStyle w:val="51"/>
        <w:numPr>
          <w:ilvl w:val="0"/>
          <w:numId w:val="55"/>
        </w:numPr>
        <w:rPr>
          <w:rFonts w:asciiTheme="minorHAnsi" w:hAnsiTheme="minorHAnsi" w:cstheme="minorHAnsi"/>
          <w:color w:val="00B050"/>
          <w:sz w:val="24"/>
          <w:szCs w:val="24"/>
        </w:rPr>
      </w:pPr>
      <w:r>
        <w:rPr>
          <w:rFonts w:asciiTheme="minorHAnsi" w:hAnsiTheme="minorHAnsi" w:cstheme="minorHAnsi"/>
          <w:color w:val="00B050"/>
          <w:sz w:val="24"/>
          <w:szCs w:val="24"/>
        </w:rPr>
        <w:t xml:space="preserve">Nombre, cargo y correo electrónico institucional del líder del diseño e implementación del PESV. </w:t>
      </w:r>
    </w:p>
    <w:p w14:paraId="25B0424E">
      <w:pPr>
        <w:pStyle w:val="51"/>
        <w:numPr>
          <w:ilvl w:val="0"/>
          <w:numId w:val="55"/>
        </w:numPr>
        <w:rPr>
          <w:rFonts w:asciiTheme="minorHAnsi" w:hAnsiTheme="minorHAnsi" w:cstheme="minorHAnsi"/>
          <w:color w:val="00B050"/>
          <w:sz w:val="24"/>
          <w:szCs w:val="24"/>
        </w:rPr>
      </w:pPr>
      <w:r>
        <w:rPr>
          <w:rFonts w:asciiTheme="minorHAnsi" w:hAnsiTheme="minorHAnsi" w:cstheme="minorHAnsi"/>
          <w:color w:val="00B050"/>
          <w:sz w:val="24"/>
          <w:szCs w:val="24"/>
        </w:rPr>
        <w:t xml:space="preserve">Nombre, cargo y correo electrónico de auditor(es) del PESV en el último año. </w:t>
      </w:r>
    </w:p>
    <w:p w14:paraId="75EC81D9">
      <w:pPr>
        <w:pStyle w:val="51"/>
        <w:numPr>
          <w:ilvl w:val="0"/>
          <w:numId w:val="55"/>
        </w:numPr>
        <w:rPr>
          <w:rFonts w:asciiTheme="minorHAnsi" w:hAnsiTheme="minorHAnsi" w:cstheme="minorHAnsi"/>
          <w:color w:val="00B050"/>
          <w:sz w:val="24"/>
          <w:szCs w:val="24"/>
        </w:rPr>
      </w:pPr>
      <w:r>
        <w:rPr>
          <w:rFonts w:asciiTheme="minorHAnsi" w:hAnsiTheme="minorHAnsi" w:cstheme="minorHAnsi"/>
          <w:color w:val="00B050"/>
          <w:sz w:val="24"/>
          <w:szCs w:val="24"/>
        </w:rPr>
        <w:t xml:space="preserve">Nombre del representante legal de la empresa, entidad u organización. </w:t>
      </w:r>
    </w:p>
    <w:p w14:paraId="0D3E6808">
      <w:pPr>
        <w:pStyle w:val="51"/>
        <w:numPr>
          <w:ilvl w:val="0"/>
          <w:numId w:val="55"/>
        </w:numPr>
        <w:rPr>
          <w:rFonts w:asciiTheme="minorHAnsi" w:hAnsiTheme="minorHAnsi" w:cstheme="minorHAnsi"/>
          <w:color w:val="00B050"/>
          <w:sz w:val="24"/>
          <w:szCs w:val="24"/>
        </w:rPr>
      </w:pPr>
      <w:r>
        <w:rPr>
          <w:rFonts w:asciiTheme="minorHAnsi" w:hAnsiTheme="minorHAnsi" w:cstheme="minorHAnsi"/>
          <w:color w:val="00B050"/>
          <w:sz w:val="24"/>
          <w:szCs w:val="24"/>
        </w:rPr>
        <w:t xml:space="preserve">Misionalidad y tamaño de la organización para efectos del PESV. </w:t>
      </w:r>
    </w:p>
    <w:p w14:paraId="2E29BAAC">
      <w:pPr>
        <w:pStyle w:val="51"/>
        <w:numPr>
          <w:ilvl w:val="0"/>
          <w:numId w:val="55"/>
        </w:numPr>
        <w:rPr>
          <w:rFonts w:asciiTheme="minorHAnsi" w:hAnsiTheme="minorHAnsi" w:cstheme="minorHAnsi"/>
          <w:color w:val="00B050"/>
          <w:sz w:val="24"/>
          <w:szCs w:val="24"/>
        </w:rPr>
      </w:pPr>
      <w:r>
        <w:rPr>
          <w:rFonts w:asciiTheme="minorHAnsi" w:hAnsiTheme="minorHAnsi" w:cstheme="minorHAnsi"/>
          <w:color w:val="00B050"/>
          <w:sz w:val="24"/>
          <w:szCs w:val="24"/>
        </w:rPr>
        <w:t xml:space="preserve">Número de vehículos automotores o no automotores (flota de vehículos): Tipo y cantidad de vehículos utilizados para desplazamientos laborales propios, contratistas, tercerizados y de propiedad de colaboradores puestos al servicio de la organización. </w:t>
      </w:r>
    </w:p>
    <w:p w14:paraId="11EB2211">
      <w:pPr>
        <w:pStyle w:val="51"/>
        <w:numPr>
          <w:ilvl w:val="0"/>
          <w:numId w:val="55"/>
        </w:numPr>
        <w:rPr>
          <w:rFonts w:asciiTheme="minorHAnsi" w:hAnsiTheme="minorHAnsi" w:cstheme="minorHAnsi"/>
          <w:color w:val="00B050"/>
          <w:sz w:val="24"/>
          <w:szCs w:val="24"/>
        </w:rPr>
      </w:pPr>
      <w:r>
        <w:rPr>
          <w:rFonts w:asciiTheme="minorHAnsi" w:hAnsiTheme="minorHAnsi" w:cstheme="minorHAnsi"/>
          <w:color w:val="00B050"/>
          <w:sz w:val="24"/>
          <w:szCs w:val="24"/>
        </w:rPr>
        <w:t xml:space="preserve">Cantidad de colaboradores de la organización por tipo de actor vial. </w:t>
      </w:r>
    </w:p>
    <w:p w14:paraId="0486A7E4">
      <w:pPr>
        <w:pStyle w:val="51"/>
        <w:numPr>
          <w:ilvl w:val="0"/>
          <w:numId w:val="55"/>
        </w:numPr>
        <w:rPr>
          <w:rFonts w:asciiTheme="minorHAnsi" w:hAnsiTheme="minorHAnsi" w:cstheme="minorHAnsi"/>
          <w:color w:val="00B050"/>
          <w:sz w:val="24"/>
          <w:szCs w:val="24"/>
        </w:rPr>
      </w:pPr>
      <w:r>
        <w:rPr>
          <w:rFonts w:asciiTheme="minorHAnsi" w:hAnsiTheme="minorHAnsi" w:cstheme="minorHAnsi"/>
          <w:color w:val="00B050"/>
          <w:sz w:val="24"/>
          <w:szCs w:val="24"/>
        </w:rPr>
        <w:t xml:space="preserve">Tipo y número de contratistas, subcontratistas y terceros, incluyendo conductores y propietarios de vehículos permanentes y ocasionales que tienen impacto directo en la ejecución del PESV. </w:t>
      </w:r>
    </w:p>
    <w:p w14:paraId="3CE394C5">
      <w:pPr>
        <w:pStyle w:val="51"/>
        <w:numPr>
          <w:ilvl w:val="0"/>
          <w:numId w:val="55"/>
        </w:numPr>
        <w:rPr>
          <w:rFonts w:asciiTheme="minorHAnsi" w:hAnsiTheme="minorHAnsi" w:cstheme="minorHAnsi"/>
          <w:color w:val="00B050"/>
          <w:sz w:val="24"/>
          <w:szCs w:val="24"/>
        </w:rPr>
      </w:pPr>
      <w:r>
        <w:rPr>
          <w:rFonts w:asciiTheme="minorHAnsi" w:hAnsiTheme="minorHAnsi" w:cstheme="minorHAnsi"/>
          <w:color w:val="00B050"/>
          <w:sz w:val="24"/>
          <w:szCs w:val="24"/>
        </w:rPr>
        <w:t xml:space="preserve">Descripción de los objetivos y metas del PESV. </w:t>
      </w:r>
    </w:p>
    <w:p w14:paraId="01CF133A">
      <w:pPr>
        <w:pStyle w:val="51"/>
        <w:numPr>
          <w:ilvl w:val="0"/>
          <w:numId w:val="55"/>
        </w:numPr>
        <w:rPr>
          <w:rFonts w:asciiTheme="minorHAnsi" w:hAnsiTheme="minorHAnsi" w:cstheme="minorHAnsi"/>
          <w:color w:val="00B050"/>
          <w:sz w:val="24"/>
          <w:szCs w:val="24"/>
        </w:rPr>
      </w:pPr>
      <w:r>
        <w:rPr>
          <w:rFonts w:asciiTheme="minorHAnsi" w:hAnsiTheme="minorHAnsi" w:cstheme="minorHAnsi"/>
          <w:color w:val="00B050"/>
          <w:sz w:val="24"/>
          <w:szCs w:val="24"/>
        </w:rPr>
        <w:t xml:space="preserve">Descripción de los programas de gestión de riesgos críticos y factores de desempeño. </w:t>
      </w:r>
    </w:p>
    <w:p w14:paraId="1A60CC81">
      <w:pPr>
        <w:pStyle w:val="51"/>
        <w:numPr>
          <w:ilvl w:val="0"/>
          <w:numId w:val="55"/>
        </w:numPr>
        <w:rPr>
          <w:rFonts w:asciiTheme="minorHAnsi" w:hAnsiTheme="minorHAnsi" w:cstheme="minorHAnsi"/>
          <w:color w:val="00B050"/>
          <w:sz w:val="24"/>
          <w:szCs w:val="24"/>
        </w:rPr>
      </w:pPr>
      <w:r>
        <w:rPr>
          <w:rFonts w:asciiTheme="minorHAnsi" w:hAnsiTheme="minorHAnsi" w:cstheme="minorHAnsi"/>
          <w:color w:val="00B050"/>
          <w:sz w:val="24"/>
          <w:szCs w:val="24"/>
        </w:rPr>
        <w:t xml:space="preserve">Número de infracciones por tipo o código de infracción a las normas de tránsito de los conductores de la organización. </w:t>
      </w:r>
    </w:p>
    <w:p w14:paraId="0E922B63">
      <w:pPr>
        <w:pStyle w:val="51"/>
        <w:numPr>
          <w:ilvl w:val="0"/>
          <w:numId w:val="55"/>
        </w:numPr>
        <w:rPr>
          <w:rFonts w:asciiTheme="minorHAnsi" w:hAnsiTheme="minorHAnsi" w:cstheme="minorHAnsi"/>
          <w:color w:val="00B050"/>
          <w:sz w:val="24"/>
          <w:szCs w:val="24"/>
        </w:rPr>
      </w:pPr>
      <w:r>
        <w:rPr>
          <w:rFonts w:asciiTheme="minorHAnsi" w:hAnsiTheme="minorHAnsi" w:cstheme="minorHAnsi"/>
          <w:color w:val="00B050"/>
          <w:sz w:val="24"/>
          <w:szCs w:val="24"/>
        </w:rPr>
        <w:t xml:space="preserve">Copia del informe de la última auditoría interna realizada al PESV, donde se constate que el PESV esté implementado y el nivel de cumplimiento de los 24 pasos establecidos en la metodología de PESV. </w:t>
      </w:r>
    </w:p>
    <w:p w14:paraId="479E2E3E">
      <w:pPr>
        <w:pStyle w:val="51"/>
        <w:rPr>
          <w:rFonts w:asciiTheme="minorHAnsi" w:hAnsiTheme="minorHAnsi" w:cstheme="minorHAnsi"/>
          <w:color w:val="00B050"/>
          <w:sz w:val="24"/>
          <w:szCs w:val="24"/>
        </w:rPr>
      </w:pPr>
    </w:p>
    <w:p w14:paraId="16A619D7">
      <w:pPr>
        <w:pStyle w:val="3"/>
        <w:numPr>
          <w:ilvl w:val="1"/>
          <w:numId w:val="4"/>
        </w:numPr>
        <w:spacing w:after="0" w:line="276" w:lineRule="auto"/>
        <w:ind w:left="540" w:hanging="540"/>
        <w:rPr>
          <w:rFonts w:asciiTheme="minorHAnsi" w:hAnsiTheme="minorHAnsi" w:cstheme="minorHAnsi"/>
          <w:color w:val="auto"/>
          <w:sz w:val="24"/>
        </w:rPr>
      </w:pPr>
      <w:bookmarkStart w:id="182" w:name="_Toc188966831"/>
      <w:r>
        <w:rPr>
          <w:rFonts w:asciiTheme="minorHAnsi" w:hAnsiTheme="minorHAnsi" w:cstheme="minorHAnsi"/>
          <w:color w:val="auto"/>
          <w:sz w:val="24"/>
        </w:rPr>
        <w:t>REGISTRO Y ANALISIS ESTADISTICO DE SINIESTROS VIALES</w:t>
      </w:r>
      <w:bookmarkEnd w:id="182"/>
    </w:p>
    <w:p w14:paraId="529E6689">
      <w:pPr>
        <w:suppressAutoHyphens/>
        <w:spacing w:line="276" w:lineRule="auto"/>
        <w:rPr>
          <w:rFonts w:asciiTheme="minorHAnsi" w:hAnsiTheme="minorHAnsi" w:cstheme="minorHAnsi"/>
          <w:b/>
          <w:bCs/>
          <w:sz w:val="24"/>
          <w:szCs w:val="24"/>
          <w:lang w:eastAsia="es-CO"/>
        </w:rPr>
      </w:pPr>
    </w:p>
    <w:p w14:paraId="36C7FFEC">
      <w:pPr>
        <w:rPr>
          <w:rFonts w:eastAsia="Calibri" w:asciiTheme="minorHAnsi" w:hAnsiTheme="minorHAnsi" w:cstheme="minorHAnsi"/>
          <w:color w:val="00B050"/>
          <w:sz w:val="24"/>
          <w:szCs w:val="24"/>
          <w:lang w:eastAsia="en-US"/>
        </w:rPr>
      </w:pPr>
      <w:r>
        <w:rPr>
          <w:rFonts w:eastAsia="Calibri" w:asciiTheme="minorHAnsi" w:hAnsiTheme="minorHAnsi" w:cstheme="minorHAnsi"/>
          <w:color w:val="00B050"/>
          <w:sz w:val="24"/>
          <w:szCs w:val="24"/>
          <w:lang w:eastAsia="en-US"/>
        </w:rPr>
        <w:t>La organización definió su línea base de siniestralidad vial, en la cual se determina la posición actual de la organización con relación a la seguridad vial de acuerdo con el nivel de pérdida, así mismo lleva registro estadístico, tendencia, proyección a nivel estadístico y análisis de siniestros viales, diferenciando los siniestros viales de acuerdo con la gravedad del evento según el nivel de pérdida (siniestros con muertos, lesionados graves, lesionados leves, solo daños materiales) y separando los análisis estadísticos de los desplazamientos laborales y de los desplazamientos cotidianos/no laboral, así como  las tendencias de causas inmediatas, causa raíz de siniestros viales  propios y  de contratistas.</w:t>
      </w:r>
    </w:p>
    <w:p w14:paraId="5605B1F2">
      <w:pPr>
        <w:suppressAutoHyphens/>
        <w:spacing w:line="276" w:lineRule="auto"/>
        <w:rPr>
          <w:rFonts w:asciiTheme="minorHAnsi" w:hAnsiTheme="minorHAnsi" w:cstheme="minorHAnsi"/>
          <w:b/>
          <w:bCs/>
          <w:sz w:val="24"/>
          <w:szCs w:val="24"/>
          <w:lang w:eastAsia="es-CO"/>
        </w:rPr>
      </w:pPr>
    </w:p>
    <w:p w14:paraId="40C34ED3">
      <w:pPr>
        <w:pStyle w:val="3"/>
        <w:numPr>
          <w:ilvl w:val="1"/>
          <w:numId w:val="4"/>
        </w:numPr>
        <w:spacing w:after="0" w:line="276" w:lineRule="auto"/>
        <w:ind w:left="540" w:hanging="540"/>
        <w:rPr>
          <w:rFonts w:asciiTheme="minorHAnsi" w:hAnsiTheme="minorHAnsi" w:cstheme="minorHAnsi"/>
          <w:color w:val="auto"/>
          <w:sz w:val="24"/>
        </w:rPr>
      </w:pPr>
      <w:bookmarkStart w:id="183" w:name="_Toc188966832"/>
      <w:r>
        <w:rPr>
          <w:rFonts w:asciiTheme="minorHAnsi" w:hAnsiTheme="minorHAnsi" w:cstheme="minorHAnsi"/>
          <w:color w:val="auto"/>
          <w:sz w:val="24"/>
        </w:rPr>
        <w:t>AUDITORIA ANUAL</w:t>
      </w:r>
      <w:bookmarkEnd w:id="183"/>
    </w:p>
    <w:p w14:paraId="01191F8A">
      <w:pPr>
        <w:suppressAutoHyphens/>
        <w:spacing w:line="276" w:lineRule="auto"/>
        <w:rPr>
          <w:rFonts w:asciiTheme="minorHAnsi" w:hAnsiTheme="minorHAnsi" w:cstheme="minorHAnsi"/>
          <w:sz w:val="24"/>
          <w:szCs w:val="24"/>
          <w:lang w:eastAsia="es-CO"/>
        </w:rPr>
      </w:pPr>
    </w:p>
    <w:p w14:paraId="4E636D14">
      <w:pPr>
        <w:suppressAutoHyphens/>
        <w:spacing w:line="276" w:lineRule="auto"/>
        <w:rPr>
          <w:rFonts w:asciiTheme="minorHAnsi" w:hAnsiTheme="minorHAnsi" w:cstheme="minorHAnsi"/>
          <w:kern w:val="2"/>
          <w:sz w:val="24"/>
          <w:szCs w:val="24"/>
        </w:rPr>
      </w:pPr>
      <w:r>
        <w:rPr>
          <w:rFonts w:asciiTheme="minorHAnsi" w:hAnsiTheme="minorHAnsi" w:cstheme="minorHAnsi"/>
          <w:kern w:val="2"/>
          <w:sz w:val="24"/>
          <w:szCs w:val="24"/>
        </w:rPr>
        <w:t xml:space="preserve">El Plan Estratégico de Seguridad Vial del SENA estará enmarcado dentro del programa de auditorías internas de Seguridad y Salud en el Trabajo, que permitirá el control y seguimiento de su implementación, con una frecuencia </w:t>
      </w:r>
      <w:r>
        <w:rPr>
          <w:rFonts w:asciiTheme="minorHAnsi" w:hAnsiTheme="minorHAnsi" w:cstheme="minorHAnsi"/>
          <w:color w:val="00B050"/>
          <w:kern w:val="2"/>
          <w:sz w:val="24"/>
          <w:szCs w:val="24"/>
        </w:rPr>
        <w:t xml:space="preserve">anual </w:t>
      </w:r>
      <w:r>
        <w:rPr>
          <w:rFonts w:asciiTheme="minorHAnsi" w:hAnsiTheme="minorHAnsi" w:cstheme="minorHAnsi"/>
          <w:kern w:val="2"/>
          <w:sz w:val="24"/>
          <w:szCs w:val="24"/>
        </w:rPr>
        <w:t>establecida en el Programa anual de auditorías.</w:t>
      </w:r>
    </w:p>
    <w:p w14:paraId="48FB58B5">
      <w:pPr>
        <w:suppressAutoHyphens/>
        <w:spacing w:line="276" w:lineRule="auto"/>
        <w:rPr>
          <w:rFonts w:eastAsia="Calibri" w:asciiTheme="minorHAnsi" w:hAnsiTheme="minorHAnsi" w:cstheme="minorHAnsi"/>
          <w:kern w:val="2"/>
          <w:sz w:val="24"/>
          <w:szCs w:val="24"/>
          <w:lang w:val="es-VE" w:eastAsia="en-US"/>
        </w:rPr>
      </w:pPr>
    </w:p>
    <w:p w14:paraId="575C81D7">
      <w:pPr>
        <w:suppressAutoHyphens/>
        <w:spacing w:line="276" w:lineRule="auto"/>
        <w:rPr>
          <w:rFonts w:asciiTheme="minorHAnsi" w:hAnsiTheme="minorHAnsi" w:cstheme="minorHAnsi"/>
          <w:kern w:val="2"/>
          <w:sz w:val="24"/>
          <w:szCs w:val="24"/>
          <w:lang w:val="es-VE"/>
        </w:rPr>
      </w:pPr>
      <w:r>
        <w:rPr>
          <w:rFonts w:asciiTheme="minorHAnsi" w:hAnsiTheme="minorHAnsi" w:cstheme="minorHAnsi"/>
          <w:kern w:val="2"/>
          <w:sz w:val="24"/>
          <w:szCs w:val="24"/>
          <w:lang w:val="es-VE"/>
        </w:rPr>
        <w:t>Adicionalmente se podrán realizar auditorías desde la Dirección General en el tema específico del PESV.</w:t>
      </w:r>
    </w:p>
    <w:p w14:paraId="6EFA4E5A">
      <w:pPr>
        <w:suppressAutoHyphens/>
        <w:spacing w:line="276" w:lineRule="auto"/>
        <w:rPr>
          <w:rFonts w:asciiTheme="minorHAnsi" w:hAnsiTheme="minorHAnsi" w:cstheme="minorHAnsi"/>
          <w:kern w:val="2"/>
          <w:sz w:val="24"/>
          <w:szCs w:val="24"/>
          <w:lang w:val="es-VE"/>
        </w:rPr>
      </w:pPr>
    </w:p>
    <w:p w14:paraId="5FD6CC2B">
      <w:pPr>
        <w:suppressAutoHyphens/>
        <w:spacing w:line="276" w:lineRule="auto"/>
        <w:rPr>
          <w:rFonts w:asciiTheme="minorHAnsi" w:hAnsiTheme="minorHAnsi" w:cstheme="minorHAnsi"/>
          <w:sz w:val="24"/>
          <w:szCs w:val="24"/>
          <w:lang w:eastAsia="es-CO"/>
        </w:rPr>
      </w:pPr>
      <w:r>
        <w:rPr>
          <w:rFonts w:asciiTheme="minorHAnsi" w:hAnsiTheme="minorHAnsi" w:cstheme="minorHAnsi"/>
          <w:kern w:val="2"/>
          <w:sz w:val="24"/>
          <w:szCs w:val="24"/>
        </w:rPr>
        <w:t>El desarrollo de estas auditorías se desarrollará según lo definido en los lineamientos establecidos en el procedimiento GEC-P-004. Procedimiento de Auditorías Internas de Gestión.</w:t>
      </w:r>
    </w:p>
    <w:p w14:paraId="47300784">
      <w:pPr>
        <w:suppressAutoHyphens/>
        <w:spacing w:line="276" w:lineRule="auto"/>
        <w:rPr>
          <w:rFonts w:asciiTheme="minorHAnsi" w:hAnsiTheme="minorHAnsi" w:cstheme="minorHAnsi"/>
          <w:sz w:val="24"/>
          <w:szCs w:val="24"/>
          <w:lang w:eastAsia="es-CO"/>
        </w:rPr>
      </w:pPr>
    </w:p>
    <w:p w14:paraId="2100913A">
      <w:pPr>
        <w:pStyle w:val="2"/>
        <w:numPr>
          <w:ilvl w:val="0"/>
          <w:numId w:val="4"/>
        </w:numPr>
        <w:spacing w:after="0" w:line="276" w:lineRule="auto"/>
        <w:rPr>
          <w:rFonts w:asciiTheme="minorHAnsi" w:hAnsiTheme="minorHAnsi" w:cstheme="minorHAnsi"/>
          <w:color w:val="000000" w:themeColor="text1"/>
          <w:sz w:val="24"/>
          <w14:textFill>
            <w14:solidFill>
              <w14:schemeClr w14:val="tx1"/>
            </w14:solidFill>
          </w14:textFill>
        </w:rPr>
      </w:pPr>
      <w:bookmarkStart w:id="184" w:name="_Toc188966833"/>
      <w:r>
        <w:rPr>
          <w:rFonts w:asciiTheme="minorHAnsi" w:hAnsiTheme="minorHAnsi" w:cstheme="minorHAnsi"/>
          <w:color w:val="000000" w:themeColor="text1"/>
          <w:sz w:val="24"/>
          <w14:textFill>
            <w14:solidFill>
              <w14:schemeClr w14:val="tx1"/>
            </w14:solidFill>
          </w14:textFill>
        </w:rPr>
        <w:t>MEJORA CONTINUA PLAN ESTRATEGICO DE SEGURIDAD VIAL</w:t>
      </w:r>
      <w:bookmarkEnd w:id="184"/>
    </w:p>
    <w:p w14:paraId="637871A4">
      <w:pPr>
        <w:pStyle w:val="3"/>
        <w:numPr>
          <w:ilvl w:val="1"/>
          <w:numId w:val="4"/>
        </w:numPr>
        <w:spacing w:after="0" w:line="276" w:lineRule="auto"/>
        <w:ind w:left="540" w:hanging="540"/>
        <w:rPr>
          <w:rFonts w:asciiTheme="minorHAnsi" w:hAnsiTheme="minorHAnsi" w:cstheme="minorHAnsi"/>
          <w:color w:val="auto"/>
          <w:sz w:val="24"/>
        </w:rPr>
      </w:pPr>
      <w:bookmarkStart w:id="185" w:name="_Toc188966834"/>
      <w:r>
        <w:rPr>
          <w:rFonts w:asciiTheme="minorHAnsi" w:hAnsiTheme="minorHAnsi" w:cstheme="minorHAnsi"/>
          <w:color w:val="auto"/>
          <w:sz w:val="24"/>
        </w:rPr>
        <w:t>MEJORA CONTINUA, ACCIONES PREVENTIVAS Y CORRECTIVAS</w:t>
      </w:r>
      <w:bookmarkEnd w:id="185"/>
    </w:p>
    <w:p w14:paraId="2D70C371">
      <w:pPr>
        <w:suppressAutoHyphens/>
        <w:spacing w:line="276" w:lineRule="auto"/>
        <w:rPr>
          <w:rFonts w:asciiTheme="minorHAnsi" w:hAnsiTheme="minorHAnsi" w:cstheme="minorHAnsi"/>
          <w:b/>
          <w:bCs/>
          <w:sz w:val="24"/>
          <w:szCs w:val="24"/>
          <w:lang w:eastAsia="es-CO"/>
        </w:rPr>
      </w:pPr>
    </w:p>
    <w:p w14:paraId="44ED11BC">
      <w:pPr>
        <w:rPr>
          <w:rFonts w:asciiTheme="minorHAnsi" w:hAnsiTheme="minorHAnsi" w:cstheme="minorHAnsi"/>
          <w:color w:val="00B050"/>
          <w:kern w:val="2"/>
          <w:sz w:val="24"/>
          <w:szCs w:val="24"/>
          <w:lang w:val="es-VE"/>
        </w:rPr>
      </w:pPr>
      <w:r>
        <w:rPr>
          <w:rFonts w:asciiTheme="minorHAnsi" w:hAnsiTheme="minorHAnsi" w:cstheme="minorHAnsi"/>
          <w:color w:val="00B050"/>
          <w:kern w:val="2"/>
          <w:sz w:val="24"/>
          <w:szCs w:val="24"/>
          <w:lang w:val="es-VE"/>
        </w:rPr>
        <w:t xml:space="preserve">La organización define e implementa las acciones preventivas y/o correctivas necesarias con base en los resultados de la medición y análisis de los indicadores, auditorías, visitas de verificación del PESV, entre otros. </w:t>
      </w:r>
    </w:p>
    <w:p w14:paraId="283D5198">
      <w:pPr>
        <w:rPr>
          <w:rFonts w:asciiTheme="minorHAnsi" w:hAnsiTheme="minorHAnsi" w:cstheme="minorHAnsi"/>
          <w:color w:val="00B050"/>
          <w:kern w:val="2"/>
          <w:sz w:val="24"/>
          <w:szCs w:val="24"/>
          <w:lang w:val="es-VE"/>
        </w:rPr>
      </w:pPr>
    </w:p>
    <w:p w14:paraId="55CE2127">
      <w:pPr>
        <w:rPr>
          <w:rFonts w:asciiTheme="minorHAnsi" w:hAnsiTheme="minorHAnsi" w:cstheme="minorHAnsi"/>
          <w:color w:val="00B050"/>
          <w:kern w:val="2"/>
          <w:sz w:val="24"/>
          <w:szCs w:val="24"/>
          <w:lang w:val="es-VE"/>
        </w:rPr>
      </w:pPr>
      <w:r>
        <w:rPr>
          <w:rFonts w:asciiTheme="minorHAnsi" w:hAnsiTheme="minorHAnsi" w:cstheme="minorHAnsi"/>
          <w:color w:val="00B050"/>
          <w:kern w:val="2"/>
          <w:sz w:val="24"/>
          <w:szCs w:val="24"/>
          <w:lang w:val="es-VE"/>
        </w:rPr>
        <w:t xml:space="preserve">La mejora se puede demostrar a través de la evolución de cada uno de los pasos del PESV desde la fase inicial del diagnóstico hasta su revisión. El registro y análisis de acciones se realiza de acuerdo con el procedimiento de acciones correctivas y preventivas establecido en el sistema de gestión SST. </w:t>
      </w:r>
    </w:p>
    <w:p w14:paraId="49F76D99">
      <w:pPr>
        <w:suppressAutoHyphens/>
        <w:spacing w:line="276" w:lineRule="auto"/>
        <w:rPr>
          <w:rFonts w:asciiTheme="minorHAnsi" w:hAnsiTheme="minorHAnsi" w:cstheme="minorHAnsi"/>
          <w:b/>
          <w:bCs/>
          <w:sz w:val="24"/>
          <w:szCs w:val="24"/>
          <w:lang w:eastAsia="es-CO"/>
        </w:rPr>
      </w:pPr>
    </w:p>
    <w:p w14:paraId="13D7C487">
      <w:pPr>
        <w:pStyle w:val="3"/>
        <w:numPr>
          <w:ilvl w:val="1"/>
          <w:numId w:val="4"/>
        </w:numPr>
        <w:spacing w:after="0" w:line="276" w:lineRule="auto"/>
        <w:ind w:left="540" w:hanging="540"/>
        <w:rPr>
          <w:rFonts w:asciiTheme="minorHAnsi" w:hAnsiTheme="minorHAnsi" w:cstheme="minorHAnsi"/>
          <w:color w:val="auto"/>
          <w:sz w:val="24"/>
        </w:rPr>
      </w:pPr>
      <w:bookmarkStart w:id="186" w:name="_Toc188966835"/>
      <w:r>
        <w:rPr>
          <w:rFonts w:asciiTheme="minorHAnsi" w:hAnsiTheme="minorHAnsi" w:cstheme="minorHAnsi"/>
          <w:color w:val="auto"/>
          <w:sz w:val="24"/>
        </w:rPr>
        <w:t>MECANISMOS DE COMUNICACIÓN</w:t>
      </w:r>
      <w:bookmarkEnd w:id="186"/>
    </w:p>
    <w:p w14:paraId="300FD5B1">
      <w:pPr>
        <w:suppressAutoHyphens/>
        <w:spacing w:line="276" w:lineRule="auto"/>
        <w:rPr>
          <w:rFonts w:asciiTheme="minorHAnsi" w:hAnsiTheme="minorHAnsi" w:cstheme="minorHAnsi"/>
          <w:sz w:val="24"/>
          <w:szCs w:val="24"/>
          <w:lang w:eastAsia="es-CO"/>
        </w:rPr>
      </w:pPr>
    </w:p>
    <w:p w14:paraId="438772D9">
      <w:pPr>
        <w:rPr>
          <w:rFonts w:asciiTheme="minorHAnsi" w:hAnsiTheme="minorHAnsi" w:cstheme="minorHAnsi"/>
          <w:color w:val="00B050"/>
          <w:kern w:val="2"/>
          <w:sz w:val="24"/>
          <w:szCs w:val="24"/>
          <w:lang w:val="es-VE"/>
        </w:rPr>
      </w:pPr>
      <w:r>
        <w:rPr>
          <w:rFonts w:asciiTheme="minorHAnsi" w:hAnsiTheme="minorHAnsi" w:cstheme="minorHAnsi"/>
          <w:color w:val="00B050"/>
          <w:kern w:val="2"/>
          <w:sz w:val="24"/>
          <w:szCs w:val="24"/>
          <w:lang w:val="es-VE"/>
        </w:rPr>
        <w:t xml:space="preserve">La organización dispone de mecanismos de comunicación y participación para: </w:t>
      </w:r>
    </w:p>
    <w:p w14:paraId="2CEDFC32">
      <w:pPr>
        <w:rPr>
          <w:rFonts w:asciiTheme="minorHAnsi" w:hAnsiTheme="minorHAnsi" w:cstheme="minorHAnsi"/>
          <w:color w:val="00B050"/>
          <w:kern w:val="2"/>
          <w:sz w:val="24"/>
          <w:szCs w:val="24"/>
          <w:lang w:val="es-VE"/>
        </w:rPr>
      </w:pPr>
    </w:p>
    <w:p w14:paraId="3E4DC60D">
      <w:pPr>
        <w:pStyle w:val="51"/>
        <w:numPr>
          <w:ilvl w:val="0"/>
          <w:numId w:val="56"/>
        </w:numPr>
        <w:rPr>
          <w:rFonts w:eastAsia="Times New Roman" w:asciiTheme="minorHAnsi" w:hAnsiTheme="minorHAnsi" w:cstheme="minorHAnsi"/>
          <w:color w:val="00B050"/>
          <w:kern w:val="2"/>
          <w:sz w:val="24"/>
          <w:szCs w:val="24"/>
          <w:lang w:val="es-VE" w:eastAsia="es-ES"/>
        </w:rPr>
      </w:pPr>
      <w:r>
        <w:rPr>
          <w:rFonts w:eastAsia="Times New Roman" w:asciiTheme="minorHAnsi" w:hAnsiTheme="minorHAnsi" w:cstheme="minorHAnsi"/>
          <w:color w:val="00B050"/>
          <w:kern w:val="2"/>
          <w:sz w:val="24"/>
          <w:szCs w:val="24"/>
          <w:lang w:val="es-VE" w:eastAsia="es-ES"/>
        </w:rPr>
        <w:t xml:space="preserve">Garantizar que las políticas, lineamientos y actividades ejecutadas en el marco de la seguridad vial sean comunicados a todos los niveles de la organización. </w:t>
      </w:r>
    </w:p>
    <w:p w14:paraId="48B3A4AF">
      <w:pPr>
        <w:pStyle w:val="51"/>
        <w:numPr>
          <w:ilvl w:val="0"/>
          <w:numId w:val="56"/>
        </w:numPr>
        <w:rPr>
          <w:rFonts w:eastAsia="Times New Roman" w:asciiTheme="minorHAnsi" w:hAnsiTheme="minorHAnsi" w:cstheme="minorHAnsi"/>
          <w:color w:val="00B050"/>
          <w:kern w:val="2"/>
          <w:sz w:val="24"/>
          <w:szCs w:val="24"/>
          <w:lang w:val="es-VE" w:eastAsia="es-ES"/>
        </w:rPr>
      </w:pPr>
      <w:r>
        <w:rPr>
          <w:rFonts w:eastAsia="Times New Roman" w:asciiTheme="minorHAnsi" w:hAnsiTheme="minorHAnsi" w:cstheme="minorHAnsi"/>
          <w:color w:val="00B050"/>
          <w:kern w:val="2"/>
          <w:sz w:val="24"/>
          <w:szCs w:val="24"/>
          <w:lang w:val="es-VE" w:eastAsia="es-ES"/>
        </w:rPr>
        <w:t xml:space="preserve">Recibir retroalimentación o propuestas de mejora por parte de todos los colaboradores de la organización. </w:t>
      </w:r>
    </w:p>
    <w:p w14:paraId="2EC19DC0">
      <w:pPr>
        <w:pStyle w:val="51"/>
        <w:numPr>
          <w:ilvl w:val="0"/>
          <w:numId w:val="56"/>
        </w:numPr>
        <w:rPr>
          <w:rFonts w:eastAsia="Times New Roman" w:asciiTheme="minorHAnsi" w:hAnsiTheme="minorHAnsi" w:cstheme="minorHAnsi"/>
          <w:color w:val="00B050"/>
          <w:kern w:val="2"/>
          <w:sz w:val="24"/>
          <w:szCs w:val="24"/>
          <w:lang w:val="es-VE" w:eastAsia="es-ES"/>
        </w:rPr>
      </w:pPr>
      <w:r>
        <w:rPr>
          <w:rFonts w:eastAsia="Times New Roman" w:asciiTheme="minorHAnsi" w:hAnsiTheme="minorHAnsi" w:cstheme="minorHAnsi"/>
          <w:color w:val="00B050"/>
          <w:kern w:val="2"/>
          <w:sz w:val="24"/>
          <w:szCs w:val="24"/>
          <w:lang w:val="es-VE" w:eastAsia="es-ES"/>
        </w:rPr>
        <w:t xml:space="preserve">Recibir y responder las comunicaciones internas y externas relativas al PESV. </w:t>
      </w:r>
    </w:p>
    <w:p w14:paraId="54CD8FDD">
      <w:pPr>
        <w:pStyle w:val="51"/>
        <w:numPr>
          <w:ilvl w:val="0"/>
          <w:numId w:val="56"/>
        </w:numPr>
        <w:rPr>
          <w:rFonts w:eastAsia="Times New Roman" w:asciiTheme="minorHAnsi" w:hAnsiTheme="minorHAnsi" w:cstheme="minorHAnsi"/>
          <w:color w:val="00B050"/>
          <w:kern w:val="2"/>
          <w:sz w:val="24"/>
          <w:szCs w:val="24"/>
          <w:lang w:val="es-VE" w:eastAsia="es-ES"/>
        </w:rPr>
      </w:pPr>
      <w:r>
        <w:rPr>
          <w:rFonts w:eastAsia="Times New Roman" w:asciiTheme="minorHAnsi" w:hAnsiTheme="minorHAnsi" w:cstheme="minorHAnsi"/>
          <w:color w:val="00B050"/>
          <w:kern w:val="2"/>
          <w:sz w:val="24"/>
          <w:szCs w:val="24"/>
          <w:lang w:val="es-VE" w:eastAsia="es-ES"/>
        </w:rPr>
        <w:t xml:space="preserve">Promover en los colaboradores de la organización la formación de hábitos, comportamientos y conductas seguras en la vía y en consecuencia la formación de criterios autónomos, solidarios y prudentes para la toma de decisiones en situaciones de desplazamiento o uso de la vía pública. </w:t>
      </w:r>
    </w:p>
    <w:p w14:paraId="6D14E534">
      <w:pPr>
        <w:pStyle w:val="51"/>
        <w:numPr>
          <w:ilvl w:val="0"/>
          <w:numId w:val="56"/>
        </w:numPr>
        <w:rPr>
          <w:rFonts w:eastAsia="Times New Roman" w:asciiTheme="minorHAnsi" w:hAnsiTheme="minorHAnsi" w:cstheme="minorHAnsi"/>
          <w:color w:val="00B050"/>
          <w:kern w:val="2"/>
          <w:sz w:val="24"/>
          <w:szCs w:val="24"/>
          <w:lang w:val="es-VE" w:eastAsia="es-ES"/>
        </w:rPr>
      </w:pPr>
      <w:r>
        <w:rPr>
          <w:rFonts w:eastAsia="Times New Roman" w:asciiTheme="minorHAnsi" w:hAnsiTheme="minorHAnsi" w:cstheme="minorHAnsi"/>
          <w:color w:val="00B050"/>
          <w:kern w:val="2"/>
          <w:sz w:val="24"/>
          <w:szCs w:val="24"/>
          <w:lang w:val="es-VE" w:eastAsia="es-ES"/>
        </w:rPr>
        <w:t xml:space="preserve">Aprender de las lecciones que dejan los siniestros viales. </w:t>
      </w:r>
    </w:p>
    <w:p w14:paraId="55A9E683">
      <w:pPr>
        <w:autoSpaceDE w:val="0"/>
        <w:autoSpaceDN w:val="0"/>
        <w:adjustRightInd w:val="0"/>
        <w:rPr>
          <w:rFonts w:asciiTheme="minorHAnsi" w:hAnsiTheme="minorHAnsi" w:cstheme="minorHAnsi"/>
          <w:color w:val="00B050"/>
          <w:kern w:val="2"/>
          <w:sz w:val="24"/>
          <w:szCs w:val="24"/>
          <w:lang w:val="es-VE"/>
        </w:rPr>
      </w:pPr>
    </w:p>
    <w:p w14:paraId="71FD1BB5">
      <w:pPr>
        <w:autoSpaceDE w:val="0"/>
        <w:autoSpaceDN w:val="0"/>
        <w:adjustRightInd w:val="0"/>
        <w:rPr>
          <w:rFonts w:asciiTheme="minorHAnsi" w:hAnsiTheme="minorHAnsi" w:cstheme="minorHAnsi"/>
          <w:color w:val="00B050"/>
          <w:kern w:val="2"/>
          <w:sz w:val="24"/>
          <w:szCs w:val="24"/>
          <w:lang w:val="es-VE"/>
        </w:rPr>
      </w:pPr>
      <w:r>
        <w:rPr>
          <w:rFonts w:asciiTheme="minorHAnsi" w:hAnsiTheme="minorHAnsi" w:cstheme="minorHAnsi"/>
          <w:color w:val="00B050"/>
          <w:kern w:val="2"/>
          <w:sz w:val="24"/>
          <w:szCs w:val="24"/>
          <w:lang w:val="es-VE"/>
        </w:rPr>
        <w:t xml:space="preserve">La empresa cuenta con una matriz de comunicaciones, a través del cual se establecen los mecanismos de comunicación y participación en seguridad vial. </w:t>
      </w:r>
    </w:p>
    <w:p w14:paraId="0CF4E5D5">
      <w:pPr>
        <w:suppressAutoHyphens/>
        <w:spacing w:line="276" w:lineRule="auto"/>
        <w:rPr>
          <w:rFonts w:asciiTheme="minorHAnsi" w:hAnsiTheme="minorHAnsi" w:cstheme="minorHAnsi"/>
          <w:color w:val="00B050"/>
          <w:kern w:val="2"/>
          <w:sz w:val="24"/>
          <w:szCs w:val="24"/>
          <w:lang w:val="es-VE"/>
        </w:rPr>
      </w:pPr>
    </w:p>
    <w:p w14:paraId="7C60726E">
      <w:pPr>
        <w:suppressAutoHyphens/>
        <w:spacing w:line="276" w:lineRule="auto"/>
        <w:rPr>
          <w:rFonts w:asciiTheme="minorHAnsi" w:hAnsiTheme="minorHAnsi" w:cstheme="minorHAnsi"/>
          <w:sz w:val="24"/>
          <w:szCs w:val="24"/>
          <w:lang w:eastAsia="es-CO"/>
        </w:rPr>
      </w:pPr>
    </w:p>
    <w:p w14:paraId="3D3A606B">
      <w:pPr>
        <w:suppressAutoHyphens/>
        <w:spacing w:line="276" w:lineRule="auto"/>
        <w:rPr>
          <w:rFonts w:asciiTheme="minorHAnsi" w:hAnsiTheme="minorHAnsi" w:cstheme="minorHAnsi"/>
          <w:sz w:val="24"/>
          <w:szCs w:val="24"/>
          <w:lang w:eastAsia="es-CO"/>
        </w:rPr>
      </w:pPr>
    </w:p>
    <w:p w14:paraId="5AB5B2DD">
      <w:pPr>
        <w:spacing w:line="276" w:lineRule="auto"/>
        <w:rPr>
          <w:rFonts w:asciiTheme="minorHAnsi" w:hAnsiTheme="minorHAnsi" w:cstheme="minorHAnsi"/>
          <w:sz w:val="24"/>
          <w:szCs w:val="24"/>
        </w:rPr>
      </w:pPr>
      <w:bookmarkStart w:id="187" w:name="_Toc517362761"/>
      <w:bookmarkEnd w:id="187"/>
      <w:bookmarkStart w:id="188" w:name="_Toc517427937"/>
      <w:bookmarkEnd w:id="188"/>
      <w:bookmarkStart w:id="189" w:name="_Toc517362790"/>
      <w:bookmarkEnd w:id="189"/>
      <w:bookmarkStart w:id="190" w:name="_Toc517772165"/>
      <w:bookmarkEnd w:id="190"/>
      <w:bookmarkStart w:id="191" w:name="_Toc517362789"/>
      <w:bookmarkEnd w:id="191"/>
      <w:bookmarkStart w:id="192" w:name="_Toc517428241"/>
      <w:bookmarkEnd w:id="192"/>
      <w:bookmarkStart w:id="193" w:name="_Toc517772374"/>
      <w:bookmarkEnd w:id="193"/>
      <w:bookmarkStart w:id="194" w:name="_Toc517808218"/>
      <w:bookmarkEnd w:id="194"/>
      <w:bookmarkStart w:id="195" w:name="_Toc519102837"/>
      <w:bookmarkEnd w:id="195"/>
      <w:bookmarkStart w:id="196" w:name="_Toc519102838"/>
      <w:bookmarkEnd w:id="196"/>
      <w:bookmarkStart w:id="197" w:name="_Toc517449901"/>
      <w:bookmarkEnd w:id="197"/>
      <w:bookmarkStart w:id="198" w:name="_Toc517362762"/>
      <w:bookmarkEnd w:id="198"/>
      <w:bookmarkStart w:id="199" w:name="_Toc517449902"/>
      <w:bookmarkEnd w:id="199"/>
      <w:bookmarkStart w:id="200" w:name="_Toc517428240"/>
      <w:bookmarkEnd w:id="200"/>
      <w:bookmarkStart w:id="201" w:name="_Toc517772164"/>
      <w:bookmarkEnd w:id="201"/>
      <w:bookmarkStart w:id="202" w:name="_Toc517808217"/>
      <w:bookmarkEnd w:id="202"/>
      <w:bookmarkStart w:id="203" w:name="_Toc517772373"/>
      <w:bookmarkEnd w:id="203"/>
      <w:bookmarkStart w:id="204" w:name="_Toc517362760"/>
      <w:bookmarkEnd w:id="204"/>
      <w:bookmarkStart w:id="205" w:name="_Toc517427936"/>
      <w:bookmarkEnd w:id="205"/>
      <w:bookmarkStart w:id="206" w:name="_Toc517427940"/>
      <w:bookmarkEnd w:id="206"/>
      <w:bookmarkStart w:id="207" w:name="_Toc519102841"/>
      <w:bookmarkEnd w:id="207"/>
      <w:bookmarkStart w:id="208" w:name="_Toc517362794"/>
      <w:bookmarkEnd w:id="208"/>
      <w:bookmarkStart w:id="209" w:name="_Toc517772375"/>
      <w:bookmarkEnd w:id="209"/>
      <w:bookmarkStart w:id="210" w:name="_Toc517808219"/>
      <w:bookmarkEnd w:id="210"/>
      <w:bookmarkStart w:id="211" w:name="_Toc517428243"/>
      <w:bookmarkEnd w:id="211"/>
      <w:bookmarkStart w:id="212" w:name="_Toc517427941"/>
      <w:bookmarkEnd w:id="212"/>
      <w:bookmarkStart w:id="213" w:name="_Toc517772168"/>
      <w:bookmarkEnd w:id="213"/>
      <w:bookmarkStart w:id="214" w:name="_Toc517362765"/>
      <w:bookmarkEnd w:id="214"/>
      <w:bookmarkStart w:id="215" w:name="_Toc517428245"/>
      <w:bookmarkEnd w:id="215"/>
      <w:bookmarkStart w:id="216" w:name="_Toc517449904"/>
      <w:bookmarkEnd w:id="216"/>
      <w:bookmarkStart w:id="217" w:name="_Toc517449906"/>
      <w:bookmarkEnd w:id="217"/>
      <w:bookmarkStart w:id="218" w:name="_Toc517772169"/>
      <w:bookmarkEnd w:id="218"/>
      <w:bookmarkStart w:id="219" w:name="_Toc517772166"/>
      <w:bookmarkEnd w:id="219"/>
      <w:bookmarkStart w:id="220" w:name="_Toc517362792"/>
      <w:bookmarkEnd w:id="220"/>
      <w:bookmarkStart w:id="221" w:name="_Toc519102839"/>
      <w:bookmarkEnd w:id="221"/>
      <w:bookmarkStart w:id="222" w:name="_Toc517427939"/>
      <w:bookmarkEnd w:id="222"/>
      <w:bookmarkStart w:id="223" w:name="_Toc517362763"/>
      <w:bookmarkEnd w:id="223"/>
      <w:bookmarkStart w:id="224" w:name="_Toc517772376"/>
      <w:bookmarkEnd w:id="224"/>
      <w:bookmarkStart w:id="225" w:name="_Toc517449903"/>
      <w:bookmarkEnd w:id="225"/>
      <w:bookmarkStart w:id="226" w:name="_Toc517772167"/>
      <w:bookmarkEnd w:id="226"/>
      <w:bookmarkStart w:id="227" w:name="_Toc517362793"/>
      <w:bookmarkEnd w:id="227"/>
      <w:bookmarkStart w:id="228" w:name="_Toc517428244"/>
      <w:bookmarkEnd w:id="228"/>
      <w:bookmarkStart w:id="229" w:name="_Toc517449905"/>
      <w:bookmarkEnd w:id="229"/>
      <w:bookmarkStart w:id="230" w:name="_Toc517362791"/>
      <w:bookmarkEnd w:id="230"/>
      <w:bookmarkStart w:id="231" w:name="_Toc517427938"/>
      <w:bookmarkEnd w:id="231"/>
      <w:bookmarkStart w:id="232" w:name="_Toc517428242"/>
      <w:bookmarkEnd w:id="232"/>
      <w:bookmarkStart w:id="233" w:name="_Toc517808220"/>
      <w:bookmarkEnd w:id="233"/>
      <w:bookmarkStart w:id="234" w:name="_Toc517772377"/>
      <w:bookmarkEnd w:id="234"/>
      <w:bookmarkStart w:id="235" w:name="_Toc517362764"/>
      <w:bookmarkEnd w:id="235"/>
      <w:bookmarkStart w:id="236" w:name="_Toc519102840"/>
      <w:bookmarkEnd w:id="236"/>
      <w:bookmarkStart w:id="237" w:name="_Toc517808221"/>
      <w:bookmarkEnd w:id="237"/>
      <w:bookmarkStart w:id="238" w:name="_Toc519102842"/>
      <w:bookmarkEnd w:id="238"/>
      <w:bookmarkStart w:id="239" w:name="_Toc517772378"/>
      <w:bookmarkEnd w:id="239"/>
      <w:bookmarkStart w:id="240" w:name="_Toc517808222"/>
      <w:bookmarkEnd w:id="240"/>
      <w:r>
        <w:rPr>
          <w:rFonts w:asciiTheme="minorHAnsi" w:hAnsiTheme="minorHAnsi" w:cstheme="minorHAnsi"/>
          <w:b/>
          <w:bCs/>
          <w:sz w:val="24"/>
          <w:szCs w:val="24"/>
        </w:rPr>
        <w:t>6. Control de cambios</w:t>
      </w:r>
      <w:r>
        <w:rPr>
          <w:rFonts w:asciiTheme="minorHAnsi" w:hAnsiTheme="minorHAnsi" w:cstheme="minorHAnsi"/>
          <w:sz w:val="24"/>
          <w:szCs w:val="24"/>
        </w:rPr>
        <w:t>.</w:t>
      </w:r>
    </w:p>
    <w:tbl>
      <w:tblPr>
        <w:tblStyle w:val="12"/>
        <w:tblW w:w="8488" w:type="dxa"/>
        <w:tblInd w:w="0" w:type="dxa"/>
        <w:tblLayout w:type="autofit"/>
        <w:tblCellMar>
          <w:top w:w="0" w:type="dxa"/>
          <w:left w:w="10" w:type="dxa"/>
          <w:bottom w:w="0" w:type="dxa"/>
          <w:right w:w="10" w:type="dxa"/>
        </w:tblCellMar>
      </w:tblPr>
      <w:tblGrid>
        <w:gridCol w:w="1103"/>
        <w:gridCol w:w="2165"/>
        <w:gridCol w:w="5220"/>
      </w:tblGrid>
      <w:tr w14:paraId="41CFD3EA">
        <w:tblPrEx>
          <w:tblCellMar>
            <w:top w:w="0" w:type="dxa"/>
            <w:left w:w="10" w:type="dxa"/>
            <w:bottom w:w="0" w:type="dxa"/>
            <w:right w:w="10" w:type="dxa"/>
          </w:tblCellMar>
        </w:tblPrEx>
        <w:trPr>
          <w:trHeight w:val="540" w:hRule="atLeast"/>
        </w:trPr>
        <w:tc>
          <w:tcPr>
            <w:tcW w:w="1103" w:type="dxa"/>
            <w:tcBorders>
              <w:top w:val="single" w:color="000000" w:sz="6" w:space="0"/>
              <w:left w:val="single" w:color="000000" w:sz="6" w:space="0"/>
              <w:bottom w:val="single" w:color="000000" w:sz="6" w:space="0"/>
              <w:right w:val="single" w:color="000000" w:sz="6" w:space="0"/>
            </w:tcBorders>
            <w:shd w:val="clear" w:color="auto" w:fill="auto"/>
            <w:tcMar>
              <w:top w:w="0" w:type="dxa"/>
              <w:left w:w="0" w:type="dxa"/>
              <w:bottom w:w="0" w:type="dxa"/>
              <w:right w:w="0" w:type="dxa"/>
            </w:tcMar>
          </w:tcPr>
          <w:p w14:paraId="72D388E5">
            <w:pPr>
              <w:jc w:val="center"/>
              <w:textAlignment w:val="baseline"/>
            </w:pPr>
            <w:bookmarkStart w:id="241" w:name="_Hlk136254758"/>
            <w:r>
              <w:rPr>
                <w:rFonts w:cs="Calibri"/>
                <w:b/>
                <w:bCs/>
                <w:sz w:val="24"/>
                <w:szCs w:val="24"/>
              </w:rPr>
              <w:t>VERSION</w:t>
            </w:r>
            <w:r>
              <w:rPr>
                <w:rFonts w:cs="Calibri"/>
                <w:sz w:val="24"/>
                <w:szCs w:val="24"/>
              </w:rPr>
              <w:t> </w:t>
            </w:r>
          </w:p>
        </w:tc>
        <w:tc>
          <w:tcPr>
            <w:tcW w:w="2165" w:type="dxa"/>
            <w:tcBorders>
              <w:top w:val="single" w:color="000000" w:sz="6" w:space="0"/>
              <w:left w:val="single" w:color="000000" w:sz="6" w:space="0"/>
              <w:bottom w:val="single" w:color="000000" w:sz="6" w:space="0"/>
              <w:right w:val="single" w:color="000000" w:sz="6" w:space="0"/>
            </w:tcBorders>
            <w:shd w:val="clear" w:color="auto" w:fill="auto"/>
            <w:tcMar>
              <w:top w:w="0" w:type="dxa"/>
              <w:left w:w="0" w:type="dxa"/>
              <w:bottom w:w="0" w:type="dxa"/>
              <w:right w:w="0" w:type="dxa"/>
            </w:tcMar>
          </w:tcPr>
          <w:p w14:paraId="3837AA69">
            <w:pPr>
              <w:jc w:val="center"/>
              <w:textAlignment w:val="baseline"/>
            </w:pPr>
            <w:r>
              <w:rPr>
                <w:rFonts w:cs="Calibri"/>
                <w:b/>
                <w:bCs/>
                <w:sz w:val="24"/>
                <w:szCs w:val="24"/>
              </w:rPr>
              <w:t>FECHA DE ENTRADA EN VIGENTE</w:t>
            </w:r>
            <w:r>
              <w:rPr>
                <w:rFonts w:cs="Calibri"/>
                <w:sz w:val="24"/>
                <w:szCs w:val="24"/>
              </w:rPr>
              <w:t> </w:t>
            </w:r>
          </w:p>
        </w:tc>
        <w:tc>
          <w:tcPr>
            <w:tcW w:w="5220" w:type="dxa"/>
            <w:tcBorders>
              <w:top w:val="single" w:color="000000" w:sz="6" w:space="0"/>
              <w:left w:val="single" w:color="000000" w:sz="6" w:space="0"/>
              <w:bottom w:val="single" w:color="000000" w:sz="6" w:space="0"/>
              <w:right w:val="single" w:color="000000" w:sz="6" w:space="0"/>
            </w:tcBorders>
            <w:shd w:val="clear" w:color="auto" w:fill="auto"/>
            <w:tcMar>
              <w:top w:w="0" w:type="dxa"/>
              <w:left w:w="0" w:type="dxa"/>
              <w:bottom w:w="0" w:type="dxa"/>
              <w:right w:w="0" w:type="dxa"/>
            </w:tcMar>
          </w:tcPr>
          <w:p w14:paraId="4A91434E">
            <w:pPr>
              <w:jc w:val="center"/>
              <w:textAlignment w:val="baseline"/>
            </w:pPr>
            <w:r>
              <w:rPr>
                <w:rFonts w:cs="Calibri"/>
                <w:b/>
                <w:bCs/>
                <w:sz w:val="24"/>
                <w:szCs w:val="24"/>
              </w:rPr>
              <w:t>NATURALEZA DEL CAMBIO</w:t>
            </w:r>
            <w:r>
              <w:rPr>
                <w:rFonts w:cs="Calibri"/>
                <w:sz w:val="24"/>
                <w:szCs w:val="24"/>
              </w:rPr>
              <w:t> </w:t>
            </w:r>
          </w:p>
        </w:tc>
      </w:tr>
      <w:tr w14:paraId="5D8F571F">
        <w:tblPrEx>
          <w:tblCellMar>
            <w:top w:w="0" w:type="dxa"/>
            <w:left w:w="10" w:type="dxa"/>
            <w:bottom w:w="0" w:type="dxa"/>
            <w:right w:w="10" w:type="dxa"/>
          </w:tblCellMar>
        </w:tblPrEx>
        <w:trPr>
          <w:trHeight w:val="300" w:hRule="atLeast"/>
        </w:trPr>
        <w:tc>
          <w:tcPr>
            <w:tcW w:w="1103" w:type="dxa"/>
            <w:tcBorders>
              <w:top w:val="single" w:color="000000" w:sz="6" w:space="0"/>
              <w:left w:val="single" w:color="000000" w:sz="6" w:space="0"/>
              <w:bottom w:val="single" w:color="000000" w:sz="6" w:space="0"/>
              <w:right w:val="single" w:color="000000" w:sz="6" w:space="0"/>
            </w:tcBorders>
            <w:shd w:val="clear" w:color="auto" w:fill="auto"/>
            <w:tcMar>
              <w:top w:w="0" w:type="dxa"/>
              <w:left w:w="0" w:type="dxa"/>
              <w:bottom w:w="0" w:type="dxa"/>
              <w:right w:w="0" w:type="dxa"/>
            </w:tcMar>
          </w:tcPr>
          <w:p w14:paraId="5D0183E9">
            <w:pPr>
              <w:textAlignment w:val="baseline"/>
            </w:pPr>
            <w:r>
              <w:rPr>
                <w:rFonts w:cs="Calibri"/>
                <w:sz w:val="24"/>
                <w:szCs w:val="24"/>
              </w:rPr>
              <w:t>01 </w:t>
            </w:r>
          </w:p>
        </w:tc>
        <w:tc>
          <w:tcPr>
            <w:tcW w:w="2165" w:type="dxa"/>
            <w:tcBorders>
              <w:top w:val="single" w:color="000000" w:sz="6" w:space="0"/>
              <w:left w:val="single" w:color="000000" w:sz="6" w:space="0"/>
              <w:bottom w:val="single" w:color="000000" w:sz="6" w:space="0"/>
              <w:right w:val="single" w:color="000000" w:sz="6" w:space="0"/>
            </w:tcBorders>
            <w:shd w:val="clear" w:color="auto" w:fill="auto"/>
            <w:tcMar>
              <w:top w:w="0" w:type="dxa"/>
              <w:left w:w="0" w:type="dxa"/>
              <w:bottom w:w="0" w:type="dxa"/>
              <w:right w:w="0" w:type="dxa"/>
            </w:tcMar>
          </w:tcPr>
          <w:p w14:paraId="1E2E5B90">
            <w:pPr>
              <w:textAlignment w:val="baseline"/>
            </w:pPr>
            <w:r>
              <w:rPr>
                <w:rFonts w:cs="Calibri"/>
                <w:sz w:val="24"/>
                <w:szCs w:val="24"/>
              </w:rPr>
              <w:t>Julio de 2023 </w:t>
            </w:r>
          </w:p>
        </w:tc>
        <w:tc>
          <w:tcPr>
            <w:tcW w:w="5220" w:type="dxa"/>
            <w:tcBorders>
              <w:top w:val="single" w:color="000000" w:sz="6" w:space="0"/>
              <w:left w:val="single" w:color="000000" w:sz="6" w:space="0"/>
              <w:bottom w:val="single" w:color="000000" w:sz="6" w:space="0"/>
              <w:right w:val="single" w:color="000000" w:sz="6" w:space="0"/>
            </w:tcBorders>
            <w:shd w:val="clear" w:color="auto" w:fill="auto"/>
            <w:tcMar>
              <w:top w:w="0" w:type="dxa"/>
              <w:left w:w="0" w:type="dxa"/>
              <w:bottom w:w="0" w:type="dxa"/>
              <w:right w:w="0" w:type="dxa"/>
            </w:tcMar>
          </w:tcPr>
          <w:p w14:paraId="737B5596">
            <w:pPr>
              <w:textAlignment w:val="baseline"/>
            </w:pPr>
            <w:r>
              <w:rPr>
                <w:rFonts w:cs="Calibri"/>
                <w:sz w:val="24"/>
                <w:szCs w:val="24"/>
              </w:rPr>
              <w:t>De acuerdo con la aprobación de la actualización del mapa de procesos por el Comité Institucional de Gestión y Desempeño, se hace actualización de código e imagen institucional, reemplazando el documento DO-PN-002 V01 por GOR-PN-002 V01 </w:t>
            </w:r>
          </w:p>
        </w:tc>
      </w:tr>
      <w:tr w14:paraId="3A06B054">
        <w:tblPrEx>
          <w:tblCellMar>
            <w:top w:w="0" w:type="dxa"/>
            <w:left w:w="10" w:type="dxa"/>
            <w:bottom w:w="0" w:type="dxa"/>
            <w:right w:w="10" w:type="dxa"/>
          </w:tblCellMar>
        </w:tblPrEx>
        <w:trPr>
          <w:trHeight w:val="300" w:hRule="atLeast"/>
        </w:trPr>
        <w:tc>
          <w:tcPr>
            <w:tcW w:w="1103" w:type="dxa"/>
            <w:tcBorders>
              <w:top w:val="single" w:color="000000" w:sz="6" w:space="0"/>
              <w:left w:val="single" w:color="000000" w:sz="6" w:space="0"/>
              <w:bottom w:val="single" w:color="000000" w:sz="6" w:space="0"/>
              <w:right w:val="single" w:color="000000" w:sz="6" w:space="0"/>
            </w:tcBorders>
            <w:shd w:val="clear" w:color="auto" w:fill="auto"/>
            <w:tcMar>
              <w:top w:w="0" w:type="dxa"/>
              <w:left w:w="0" w:type="dxa"/>
              <w:bottom w:w="0" w:type="dxa"/>
              <w:right w:w="0" w:type="dxa"/>
            </w:tcMar>
          </w:tcPr>
          <w:p w14:paraId="38FFFB8C">
            <w:pPr>
              <w:textAlignment w:val="baseline"/>
              <w:rPr>
                <w:rFonts w:cs="Calibri"/>
                <w:color w:val="00B050"/>
                <w:sz w:val="24"/>
                <w:szCs w:val="24"/>
              </w:rPr>
            </w:pPr>
            <w:r>
              <w:rPr>
                <w:rFonts w:cs="Calibri"/>
                <w:color w:val="00B050"/>
                <w:sz w:val="24"/>
                <w:szCs w:val="24"/>
              </w:rPr>
              <w:t>02</w:t>
            </w:r>
          </w:p>
        </w:tc>
        <w:tc>
          <w:tcPr>
            <w:tcW w:w="2165" w:type="dxa"/>
            <w:tcBorders>
              <w:top w:val="single" w:color="000000" w:sz="6" w:space="0"/>
              <w:left w:val="single" w:color="000000" w:sz="6" w:space="0"/>
              <w:bottom w:val="single" w:color="000000" w:sz="6" w:space="0"/>
              <w:right w:val="single" w:color="000000" w:sz="6" w:space="0"/>
            </w:tcBorders>
            <w:shd w:val="clear" w:color="auto" w:fill="auto"/>
            <w:tcMar>
              <w:top w:w="0" w:type="dxa"/>
              <w:left w:w="0" w:type="dxa"/>
              <w:bottom w:w="0" w:type="dxa"/>
              <w:right w:w="0" w:type="dxa"/>
            </w:tcMar>
          </w:tcPr>
          <w:p w14:paraId="4F620E0A">
            <w:pPr>
              <w:textAlignment w:val="baseline"/>
              <w:rPr>
                <w:rFonts w:cs="Calibri"/>
                <w:color w:val="00B050"/>
                <w:sz w:val="24"/>
                <w:szCs w:val="24"/>
              </w:rPr>
            </w:pPr>
          </w:p>
        </w:tc>
        <w:tc>
          <w:tcPr>
            <w:tcW w:w="5220" w:type="dxa"/>
            <w:tcBorders>
              <w:top w:val="single" w:color="000000" w:sz="6" w:space="0"/>
              <w:left w:val="single" w:color="000000" w:sz="6" w:space="0"/>
              <w:bottom w:val="single" w:color="000000" w:sz="6" w:space="0"/>
              <w:right w:val="single" w:color="000000" w:sz="6" w:space="0"/>
            </w:tcBorders>
            <w:shd w:val="clear" w:color="auto" w:fill="auto"/>
            <w:tcMar>
              <w:top w:w="0" w:type="dxa"/>
              <w:left w:w="0" w:type="dxa"/>
              <w:bottom w:w="0" w:type="dxa"/>
              <w:right w:w="0" w:type="dxa"/>
            </w:tcMar>
          </w:tcPr>
          <w:p w14:paraId="7FC169D9">
            <w:pPr>
              <w:textAlignment w:val="baseline"/>
              <w:rPr>
                <w:rFonts w:cs="Calibri"/>
                <w:color w:val="00B050"/>
                <w:sz w:val="24"/>
                <w:szCs w:val="24"/>
              </w:rPr>
            </w:pPr>
            <w:r>
              <w:rPr>
                <w:rFonts w:cs="Calibri"/>
                <w:color w:val="00B050"/>
                <w:sz w:val="24"/>
                <w:szCs w:val="24"/>
              </w:rPr>
              <w:t>Se realiza actualización y alineación del plan estratégico de seguridad vial acorde con requisitos establecidos en la Resolución 40595 de 2022</w:t>
            </w:r>
          </w:p>
        </w:tc>
      </w:tr>
      <w:bookmarkEnd w:id="241"/>
    </w:tbl>
    <w:p w14:paraId="78AD3709">
      <w:pPr>
        <w:spacing w:line="276" w:lineRule="auto"/>
        <w:rPr>
          <w:rFonts w:asciiTheme="minorHAnsi" w:hAnsiTheme="minorHAnsi" w:cstheme="minorHAnsi"/>
          <w:sz w:val="24"/>
          <w:szCs w:val="24"/>
        </w:rPr>
      </w:pPr>
    </w:p>
    <w:sectPr>
      <w:headerReference r:id="rId6" w:type="first"/>
      <w:footerReference r:id="rId8" w:type="first"/>
      <w:headerReference r:id="rId5" w:type="default"/>
      <w:footerReference r:id="rId7" w:type="default"/>
      <w:pgSz w:w="12240" w:h="15840"/>
      <w:pgMar w:top="1417" w:right="1701" w:bottom="1417" w:left="1701" w:header="709" w:footer="709" w:gutter="0"/>
      <w:cols w:space="708" w:num="1"/>
      <w:titlePg/>
      <w:docGrid w:linePitch="360" w:charSpace="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ASUS" w:date="2025-01-24T14:36:00Z" w:initials="A">
    <w:p w14:paraId="322C1198">
      <w:pPr>
        <w:pStyle w:val="25"/>
      </w:pPr>
      <w:r>
        <w:t>Validar funciones diferentes a normativas y las relacionadas en el la Resolución, de manera que coincidan</w:t>
      </w:r>
    </w:p>
    <w:p w14:paraId="5FABC344">
      <w:pPr>
        <w:pStyle w:val="25"/>
      </w:pPr>
    </w:p>
  </w:comment>
  <w:comment w:id="1" w:author="ASUS" w:date="2025-01-27T09:25:00Z" w:initials="A">
    <w:p w14:paraId="4CB1F92B">
      <w:pPr>
        <w:pStyle w:val="25"/>
      </w:pPr>
      <w:r>
        <w:t>Validar articulación y manejo de políticas reglamentarias</w:t>
      </w:r>
    </w:p>
  </w:comment>
  <w:comment w:id="2" w:author="ASUS" w:date="2025-01-28T11:56:00Z" w:initials="A">
    <w:p w14:paraId="2ED15165">
      <w:pPr>
        <w:pStyle w:val="25"/>
      </w:pPr>
      <w:r>
        <w:t>Validar si se van a mantener en política o se van a llevar a programas de gestión de riesgo criticos</w:t>
      </w:r>
    </w:p>
  </w:comment>
  <w:comment w:id="3" w:author="ASUS" w:date="2025-01-28T11:57:00Z" w:initials="A">
    <w:p w14:paraId="254FA9F1">
      <w:pPr>
        <w:pStyle w:val="25"/>
      </w:pPr>
      <w:r>
        <w:t>Validar con Sena</w:t>
      </w:r>
    </w:p>
  </w:comment>
  <w:comment w:id="4" w:author="ASUS" w:date="2025-01-27T10:25:00Z" w:initials="A">
    <w:p w14:paraId="34B5A01C">
      <w:pPr>
        <w:pStyle w:val="25"/>
      </w:pPr>
      <w:r>
        <w:t>Validar con la empresa a q se refiere</w:t>
      </w:r>
    </w:p>
  </w:comment>
  <w:comment w:id="5" w:author="ASUS" w:date="2025-01-27T10:37:00Z" w:initials="A">
    <w:p w14:paraId="39BA3973">
      <w:pPr>
        <w:pStyle w:val="25"/>
      </w:pPr>
      <w:r>
        <w:t>Validar si se llevan a programas o se van a mantener en este documento</w:t>
      </w:r>
    </w:p>
  </w:comment>
  <w:comment w:id="6" w:author="ASUS" w:date="2025-01-27T10:43:00Z" w:initials="A">
    <w:p w14:paraId="3EBFFCB2">
      <w:pPr>
        <w:pStyle w:val="25"/>
      </w:pPr>
      <w:r>
        <w:t>Validar si los planes de trabajo se diseñan y ejecutan por regional</w:t>
      </w:r>
    </w:p>
  </w:comment>
  <w:comment w:id="7" w:author="ASUS" w:date="2025-01-27T11:36:00Z" w:initials="A">
    <w:p w14:paraId="56BFCB30">
      <w:pPr>
        <w:pStyle w:val="25"/>
      </w:pPr>
      <w:r>
        <w:t>Validar acorde con documentación de competencias de personas en rol de conductor</w:t>
      </w:r>
    </w:p>
  </w:comment>
  <w:comment w:id="8" w:author="ASUS" w:date="2025-01-24T16:21:00Z" w:initials="A">
    <w:p w14:paraId="2490815E">
      <w:pPr>
        <w:pStyle w:val="25"/>
      </w:pPr>
      <w:r>
        <w:t>Validar alineación al PESV SENA</w:t>
      </w:r>
    </w:p>
  </w:comment>
  <w:comment w:id="9" w:author="ASUS" w:date="2025-01-27T11:28:00Z" w:initials="A">
    <w:p w14:paraId="7A4FEF25">
      <w:pPr>
        <w:pStyle w:val="25"/>
      </w:pPr>
      <w:r>
        <w:t xml:space="preserve">Validar aplicación actual de procedimiento </w:t>
      </w:r>
    </w:p>
  </w:comment>
  <w:comment w:id="10" w:author="ASUS" w:date="2025-01-27T11:34:00Z" w:initials="A">
    <w:p w14:paraId="585DB5EB">
      <w:pPr>
        <w:pStyle w:val="25"/>
      </w:pPr>
      <w:r>
        <w:t>Validar vigencia actual</w:t>
      </w:r>
    </w:p>
  </w:comment>
  <w:comment w:id="11" w:author="ASUS" w:date="2025-01-27T11:34:00Z" w:initials="A">
    <w:p w14:paraId="45B3C05A">
      <w:pPr>
        <w:pStyle w:val="25"/>
      </w:pPr>
      <w:r>
        <w:t>Validación desde el ámbito vial</w:t>
      </w:r>
    </w:p>
  </w:comment>
  <w:comment w:id="12" w:author="ASUS" w:date="2025-01-27T11:38:00Z" w:initials="A">
    <w:p w14:paraId="119E0FF8">
      <w:pPr>
        <w:pStyle w:val="25"/>
      </w:pPr>
      <w:r>
        <w:t>Validar si se están aplicando a todas las personas en rol de conductor</w:t>
      </w:r>
    </w:p>
  </w:comment>
  <w:comment w:id="13" w:author="ASUS" w:date="2025-01-27T11:39:00Z" w:initials="A">
    <w:p w14:paraId="3A977CE4">
      <w:pPr>
        <w:pStyle w:val="25"/>
      </w:pPr>
      <w:r>
        <w:t>Validar si se aplican a todas las personas en rol de conductor</w:t>
      </w:r>
    </w:p>
  </w:comment>
  <w:comment w:id="14" w:author="ASUS" w:date="2025-01-27T11:41:00Z" w:initials="A">
    <w:p w14:paraId="3F12B6F0">
      <w:pPr>
        <w:pStyle w:val="25"/>
      </w:pPr>
      <w:r>
        <w:t>Validar si se están aplicando a todas las personas en rol de conductor</w:t>
      </w:r>
    </w:p>
  </w:comment>
  <w:comment w:id="15" w:author="ASUS" w:date="2025-01-27T11:43:00Z" w:initials="A">
    <w:p w14:paraId="4B1E11C8">
      <w:pPr>
        <w:pStyle w:val="25"/>
      </w:pPr>
      <w:r>
        <w:t>Tener en cuenta en plan de formación</w:t>
      </w:r>
    </w:p>
  </w:comment>
  <w:comment w:id="16" w:author="ASUS" w:date="2025-01-27T11:45:00Z" w:initials="A">
    <w:p w14:paraId="02DFF2D1">
      <w:pPr>
        <w:pStyle w:val="25"/>
      </w:pPr>
      <w:r>
        <w:t xml:space="preserve">Documentar competencia en paso 11 </w:t>
      </w:r>
    </w:p>
  </w:comment>
  <w:comment w:id="17" w:author="ASUS" w:date="2025-01-27T11:50:00Z" w:initials="A">
    <w:p w14:paraId="2880A0BD">
      <w:pPr>
        <w:pStyle w:val="25"/>
      </w:pPr>
      <w:r>
        <w:t>Validar si esta función se mantiene sobre el comité</w:t>
      </w:r>
    </w:p>
  </w:comment>
  <w:comment w:id="18" w:author="ASUS" w:date="2025-01-27T12:04:00Z" w:initials="A">
    <w:p w14:paraId="5EA5606B">
      <w:pPr>
        <w:pStyle w:val="25"/>
      </w:pPr>
      <w:r>
        <w:t>Validar</w:t>
      </w:r>
    </w:p>
  </w:comment>
  <w:comment w:id="19" w:author="ASUS" w:date="2025-01-27T14:27:00Z" w:initials="A">
    <w:p w14:paraId="01071233">
      <w:pPr>
        <w:pStyle w:val="25"/>
      </w:pPr>
      <w:r>
        <w:t>Validar aplicación por regional (en proceso de diseño)</w:t>
      </w:r>
    </w:p>
  </w:comment>
  <w:comment w:id="20" w:author="ASUS" w:date="2025-01-27T14:26:00Z" w:initials="A">
    <w:p w14:paraId="2A344846">
      <w:pPr>
        <w:pStyle w:val="25"/>
      </w:pPr>
      <w:r>
        <w:t>Validar nombre y alcance por tipo de siniestro</w:t>
      </w:r>
    </w:p>
  </w:comment>
  <w:comment w:id="21" w:author="ASUS" w:date="2025-01-27T14:24:00Z" w:initials="A">
    <w:p w14:paraId="474CEF52">
      <w:pPr>
        <w:pStyle w:val="25"/>
      </w:pPr>
      <w:r>
        <w:t>Se valida su aplicación al momento de definir el procedimiento</w:t>
      </w:r>
    </w:p>
  </w:comment>
  <w:comment w:id="22" w:author="ASUS" w:date="2025-01-27T12:42:00Z" w:initials="A">
    <w:p w14:paraId="74A647CE">
      <w:pPr>
        <w:pStyle w:val="25"/>
      </w:pPr>
      <w:r>
        <w:t>Validar alcance</w:t>
      </w:r>
    </w:p>
  </w:comment>
  <w:comment w:id="23" w:author="ASUS" w:date="2025-01-27T12:28:00Z" w:initials="A">
    <w:p w14:paraId="51B694E6">
      <w:pPr>
        <w:pStyle w:val="25"/>
      </w:pPr>
      <w:r>
        <w:t xml:space="preserve">Validar, teniendo en cuenta que se habla de inspección diaria preoperacional </w:t>
      </w:r>
    </w:p>
  </w:comment>
  <w:comment w:id="24" w:author="ASUS" w:date="2025-01-27T12:23:00Z" w:initials="A">
    <w:p w14:paraId="2CBB6B39">
      <w:pPr>
        <w:pStyle w:val="25"/>
      </w:pPr>
      <w:r>
        <w:t>Validar con SENA</w:t>
      </w:r>
    </w:p>
  </w:comment>
  <w:comment w:id="25" w:author="ASUS" w:date="2025-01-27T12:06:00Z" w:initials="A">
    <w:p w14:paraId="7B8FFAC7">
      <w:pPr>
        <w:pStyle w:val="25"/>
      </w:pPr>
      <w:r>
        <w:t>Validar si el documento se encuentra vigente</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5FABC344" w15:done="0"/>
  <w15:commentEx w15:paraId="4CB1F92B" w15:done="0"/>
  <w15:commentEx w15:paraId="2ED15165" w15:done="0"/>
  <w15:commentEx w15:paraId="254FA9F1" w15:done="0"/>
  <w15:commentEx w15:paraId="34B5A01C" w15:done="0"/>
  <w15:commentEx w15:paraId="39BA3973" w15:done="0"/>
  <w15:commentEx w15:paraId="3EBFFCB2" w15:done="0"/>
  <w15:commentEx w15:paraId="56BFCB30" w15:done="0"/>
  <w15:commentEx w15:paraId="2490815E" w15:done="0"/>
  <w15:commentEx w15:paraId="7A4FEF25" w15:done="0"/>
  <w15:commentEx w15:paraId="585DB5EB" w15:done="0"/>
  <w15:commentEx w15:paraId="45B3C05A" w15:done="0"/>
  <w15:commentEx w15:paraId="119E0FF8" w15:done="0"/>
  <w15:commentEx w15:paraId="3A977CE4" w15:done="0"/>
  <w15:commentEx w15:paraId="3F12B6F0" w15:done="0"/>
  <w15:commentEx w15:paraId="4B1E11C8" w15:done="0"/>
  <w15:commentEx w15:paraId="02DFF2D1" w15:done="0"/>
  <w15:commentEx w15:paraId="2880A0BD" w15:done="0"/>
  <w15:commentEx w15:paraId="5EA5606B" w15:done="0"/>
  <w15:commentEx w15:paraId="01071233" w15:done="0"/>
  <w15:commentEx w15:paraId="2A344846" w15:done="0"/>
  <w15:commentEx w15:paraId="474CEF52" w15:done="0"/>
  <w15:commentEx w15:paraId="74A647CE" w15:done="0"/>
  <w15:commentEx w15:paraId="51B694E6" w15:done="0"/>
  <w15:commentEx w15:paraId="2CBB6B39" w15:done="0"/>
  <w15:commentEx w15:paraId="7B8FFAC7" w15:done="0"/>
</w15:commentsEx>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黑体">
    <w:altName w:val="SimSun"/>
    <w:panose1 w:val="02010609060101010101"/>
    <w:charset w:val="86"/>
    <w:family w:val="modern"/>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font285">
    <w:altName w:val="Times New Roman"/>
    <w:panose1 w:val="00000000000000000000"/>
    <w:charset w:val="00"/>
    <w:family w:val="auto"/>
    <w:pitch w:val="default"/>
    <w:sig w:usb0="00000000" w:usb1="00000000" w:usb2="00000000" w:usb3="00000000" w:csb0="00000000" w:csb1="00000000"/>
  </w:font>
  <w:font w:name="ＭＳ 明朝">
    <w:altName w:val="Segoe Print"/>
    <w:panose1 w:val="00000000000000000000"/>
    <w:charset w:val="00"/>
    <w:family w:val="auto"/>
    <w:pitch w:val="default"/>
    <w:sig w:usb0="00000000" w:usb1="00000000" w:usb2="00000000" w:usb3="00000000" w:csb0="00000000" w:csb1="00000000"/>
  </w:font>
  <w:font w:name="Symbol">
    <w:panose1 w:val="05050102010706020507"/>
    <w:charset w:val="02"/>
    <w:family w:val="roman"/>
    <w:pitch w:val="default"/>
    <w:sig w:usb0="00000000" w:usb1="00000000" w:usb2="00000000" w:usb3="00000000" w:csb0="80000000" w:csb1="00000000"/>
  </w:font>
  <w:font w:name="Noto Sans Symbols">
    <w:altName w:val="Times New Roman"/>
    <w:panose1 w:val="00000000000000000000"/>
    <w:charset w:val="00"/>
    <w:family w:val="auto"/>
    <w:pitch w:val="default"/>
    <w:sig w:usb0="00000000" w:usb1="00000000" w:usb2="00000000" w:usb3="00000000" w:csb0="00000000" w:csb1="00000000"/>
  </w:font>
  <w:font w:name="Calibri">
    <w:panose1 w:val="020F0502020204030204"/>
    <w:charset w:val="00"/>
    <w:family w:val="auto"/>
    <w:pitch w:val="default"/>
    <w:sig w:usb0="E4002EFF" w:usb1="C200247B" w:usb2="00000009" w:usb3="00000000" w:csb0="200001FF" w:csb1="00000000"/>
  </w:font>
  <w:font w:name="Microsoft YaHei">
    <w:panose1 w:val="020B0503020204020204"/>
    <w:charset w:val="86"/>
    <w:family w:val="auto"/>
    <w:pitch w:val="default"/>
    <w:sig w:usb0="80000287" w:usb1="2ACF3C50" w:usb2="00000016" w:usb3="00000000" w:csb0="0004001F"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56988046"/>
      <w:docPartObj>
        <w:docPartGallery w:val="AutoText"/>
      </w:docPartObj>
    </w:sdtPr>
    <w:sdtEndPr>
      <w:rPr>
        <w:sz w:val="24"/>
        <w:szCs w:val="24"/>
      </w:rPr>
    </w:sdtEndPr>
    <w:sdtContent>
      <w:p w14:paraId="2F01AC42">
        <w:pPr>
          <w:pStyle w:val="31"/>
          <w:jc w:val="right"/>
        </w:pPr>
        <w:r>
          <w:fldChar w:fldCharType="begin"/>
        </w:r>
        <w:r>
          <w:instrText xml:space="preserve">PAGE   \* MERGEFORMAT</w:instrText>
        </w:r>
        <w:r>
          <w:fldChar w:fldCharType="separate"/>
        </w:r>
        <w:r>
          <w:t>1</w:t>
        </w:r>
        <w:r>
          <w:fldChar w:fldCharType="end"/>
        </w:r>
      </w:p>
      <w:p w14:paraId="6E3A2150">
        <w:pPr>
          <w:pStyle w:val="31"/>
          <w:tabs>
            <w:tab w:val="center" w:pos="4252"/>
            <w:tab w:val="right" w:pos="8504"/>
          </w:tabs>
          <w:jc w:val="center"/>
          <w:rPr>
            <w:sz w:val="24"/>
            <w:szCs w:val="24"/>
          </w:rPr>
        </w:pPr>
        <w:r>
          <w:rPr>
            <w:sz w:val="24"/>
            <w:szCs w:val="24"/>
          </w:rPr>
          <w:t>GOR-PN-002 V01</w:t>
        </w:r>
      </w:p>
    </w:sdtContent>
  </w:sdt>
  <w:p w14:paraId="52F3BE88">
    <w:pPr>
      <w:pStyle w:val="3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0A67D4">
    <w:pPr>
      <w:pStyle w:val="31"/>
      <w:jc w:val="right"/>
    </w:pPr>
    <w:r>
      <w:fldChar w:fldCharType="begin"/>
    </w:r>
    <w:r>
      <w:instrText xml:space="preserve">PAGE   \* MERGEFORMAT</w:instrText>
    </w:r>
    <w:r>
      <w:fldChar w:fldCharType="separate"/>
    </w:r>
    <w:r>
      <w:t>1</w:t>
    </w:r>
    <w:r>
      <w:fldChar w:fldCharType="end"/>
    </w:r>
  </w:p>
  <w:p w14:paraId="0A3E1DDD">
    <w:pPr>
      <w:pStyle w:val="31"/>
      <w:tabs>
        <w:tab w:val="center" w:pos="4252"/>
        <w:tab w:val="right" w:pos="8504"/>
      </w:tabs>
      <w:jc w:val="center"/>
      <w:rPr>
        <w:sz w:val="24"/>
        <w:szCs w:val="24"/>
      </w:rPr>
    </w:pPr>
    <w:r>
      <w:rPr>
        <w:sz w:val="24"/>
        <w:szCs w:val="24"/>
      </w:rPr>
      <w:t>GOR-PN-002 V01</w:t>
    </w:r>
  </w:p>
  <w:p w14:paraId="088BB761">
    <w:pPr>
      <w:pStyle w:val="31"/>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E882E1">
    <w:pPr>
      <w:pStyle w:val="28"/>
    </w:pPr>
    <w:r>
      <w:rPr>
        <w:lang w:eastAsia="es-CO"/>
      </w:rPr>
      <w:drawing>
        <wp:anchor distT="0" distB="0" distL="114300" distR="114300" simplePos="0" relativeHeight="251659264" behindDoc="0" locked="0" layoutInCell="1" allowOverlap="1">
          <wp:simplePos x="0" y="0"/>
          <wp:positionH relativeFrom="margin">
            <wp:align>center</wp:align>
          </wp:positionH>
          <wp:positionV relativeFrom="paragraph">
            <wp:posOffset>-135890</wp:posOffset>
          </wp:positionV>
          <wp:extent cx="592455" cy="561340"/>
          <wp:effectExtent l="0" t="0" r="0" b="0"/>
          <wp:wrapSquare wrapText="bothSides"/>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92455" cy="561340"/>
                  </a:xfrm>
                  <a:prstGeom prst="rect">
                    <a:avLst/>
                  </a:prstGeom>
                </pic:spPr>
              </pic:pic>
            </a:graphicData>
          </a:graphic>
        </wp:anchor>
      </w:drawing>
    </w:r>
  </w:p>
  <w:p w14:paraId="2FD3CE76">
    <w:pPr>
      <w:pStyle w:val="28"/>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18CCB5">
    <w:pPr>
      <w:pStyle w:val="28"/>
    </w:pPr>
    <w:r>
      <w:rPr>
        <w:lang w:eastAsia="es-CO"/>
      </w:rPr>
      <w:drawing>
        <wp:anchor distT="0" distB="0" distL="114300" distR="114300" simplePos="0" relativeHeight="251659264" behindDoc="0" locked="0" layoutInCell="1" allowOverlap="1">
          <wp:simplePos x="0" y="0"/>
          <wp:positionH relativeFrom="page">
            <wp:posOffset>3481070</wp:posOffset>
          </wp:positionH>
          <wp:positionV relativeFrom="paragraph">
            <wp:posOffset>-189865</wp:posOffset>
          </wp:positionV>
          <wp:extent cx="672465" cy="612140"/>
          <wp:effectExtent l="0" t="0" r="1270" b="0"/>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679540" cy="618887"/>
                  </a:xfrm>
                  <a:prstGeom prst="rect">
                    <a:avLst/>
                  </a:prstGeom>
                </pic:spPr>
              </pic:pic>
            </a:graphicData>
          </a:graphic>
        </wp:anchor>
      </w:drawing>
    </w:r>
  </w:p>
  <w:p w14:paraId="60AFABFA">
    <w:pPr>
      <w:pStyle w:val="28"/>
    </w:pPr>
  </w:p>
  <w:p w14:paraId="5A4DC332">
    <w:pPr>
      <w:pStyle w:val="2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1"/>
    <w:multiLevelType w:val="multilevel"/>
    <w:tmpl w:val="00000001"/>
    <w:lvl w:ilvl="0" w:tentative="0">
      <w:start w:val="1"/>
      <w:numFmt w:val="bullet"/>
      <w:lvlText w:val="•"/>
      <w:lvlJc w:val="left"/>
      <w:pPr>
        <w:tabs>
          <w:tab w:val="left" w:pos="720"/>
        </w:tabs>
        <w:ind w:left="720" w:hanging="360"/>
      </w:pPr>
      <w:rPr>
        <w:rFonts w:ascii="Arial" w:hAnsi="Arial" w:cs="Arial"/>
        <w:b/>
      </w:rPr>
    </w:lvl>
    <w:lvl w:ilvl="1" w:tentative="0">
      <w:start w:val="1"/>
      <w:numFmt w:val="decimal"/>
      <w:lvlText w:val="%1.%2"/>
      <w:lvlJc w:val="left"/>
      <w:pPr>
        <w:tabs>
          <w:tab w:val="left" w:pos="0"/>
        </w:tabs>
        <w:ind w:left="720" w:hanging="360"/>
      </w:pPr>
    </w:lvl>
    <w:lvl w:ilvl="2" w:tentative="0">
      <w:start w:val="1"/>
      <w:numFmt w:val="decimal"/>
      <w:lvlText w:val="%1.%2.%3"/>
      <w:lvlJc w:val="left"/>
      <w:pPr>
        <w:tabs>
          <w:tab w:val="left" w:pos="0"/>
        </w:tabs>
        <w:ind w:left="1080" w:hanging="720"/>
      </w:pPr>
    </w:lvl>
    <w:lvl w:ilvl="3" w:tentative="0">
      <w:start w:val="1"/>
      <w:numFmt w:val="decimal"/>
      <w:lvlText w:val="%1.%2.%3.%4"/>
      <w:lvlJc w:val="left"/>
      <w:pPr>
        <w:tabs>
          <w:tab w:val="left" w:pos="0"/>
        </w:tabs>
        <w:ind w:left="1080" w:hanging="720"/>
      </w:pPr>
    </w:lvl>
    <w:lvl w:ilvl="4" w:tentative="0">
      <w:start w:val="1"/>
      <w:numFmt w:val="decimal"/>
      <w:lvlText w:val="%1.%2.%3.%4.%5"/>
      <w:lvlJc w:val="left"/>
      <w:pPr>
        <w:tabs>
          <w:tab w:val="left" w:pos="0"/>
        </w:tabs>
        <w:ind w:left="1440" w:hanging="1080"/>
      </w:pPr>
    </w:lvl>
    <w:lvl w:ilvl="5" w:tentative="0">
      <w:start w:val="1"/>
      <w:numFmt w:val="decimal"/>
      <w:lvlText w:val="%1.%2.%3.%4.%5.%6"/>
      <w:lvlJc w:val="left"/>
      <w:pPr>
        <w:tabs>
          <w:tab w:val="left" w:pos="0"/>
        </w:tabs>
        <w:ind w:left="1440" w:hanging="1080"/>
      </w:pPr>
    </w:lvl>
    <w:lvl w:ilvl="6" w:tentative="0">
      <w:start w:val="1"/>
      <w:numFmt w:val="decimal"/>
      <w:lvlText w:val="%1.%2.%3.%4.%5.%6.%7"/>
      <w:lvlJc w:val="left"/>
      <w:pPr>
        <w:tabs>
          <w:tab w:val="left" w:pos="0"/>
        </w:tabs>
        <w:ind w:left="1800" w:hanging="1440"/>
      </w:pPr>
    </w:lvl>
    <w:lvl w:ilvl="7" w:tentative="0">
      <w:start w:val="1"/>
      <w:numFmt w:val="decimal"/>
      <w:lvlText w:val="%1.%2.%3.%4.%5.%6.%7.%8"/>
      <w:lvlJc w:val="left"/>
      <w:pPr>
        <w:tabs>
          <w:tab w:val="left" w:pos="0"/>
        </w:tabs>
        <w:ind w:left="1800" w:hanging="1440"/>
      </w:pPr>
    </w:lvl>
    <w:lvl w:ilvl="8" w:tentative="0">
      <w:start w:val="1"/>
      <w:numFmt w:val="decimal"/>
      <w:lvlText w:val="%1.%2.%3.%4.%5.%6.%7.%8.%9"/>
      <w:lvlJc w:val="left"/>
      <w:pPr>
        <w:tabs>
          <w:tab w:val="left" w:pos="0"/>
        </w:tabs>
        <w:ind w:left="2160" w:hanging="1800"/>
      </w:pPr>
    </w:lvl>
  </w:abstractNum>
  <w:abstractNum w:abstractNumId="1">
    <w:nsid w:val="00000004"/>
    <w:multiLevelType w:val="multilevel"/>
    <w:tmpl w:val="00000004"/>
    <w:lvl w:ilvl="0" w:tentative="0">
      <w:start w:val="1"/>
      <w:numFmt w:val="bullet"/>
      <w:lvlText w:val=""/>
      <w:lvlJc w:val="left"/>
      <w:pPr>
        <w:tabs>
          <w:tab w:val="left" w:pos="0"/>
        </w:tabs>
        <w:ind w:left="1146" w:hanging="360"/>
      </w:pPr>
      <w:rPr>
        <w:rFonts w:ascii="Symbol" w:hAnsi="Symbol" w:cs="Symbol"/>
        <w:b/>
        <w:u w:val="none" w:color="CC9900"/>
      </w:rPr>
    </w:lvl>
    <w:lvl w:ilvl="1" w:tentative="0">
      <w:start w:val="1"/>
      <w:numFmt w:val="bullet"/>
      <w:lvlText w:val="o"/>
      <w:lvlJc w:val="left"/>
      <w:pPr>
        <w:tabs>
          <w:tab w:val="left" w:pos="0"/>
        </w:tabs>
        <w:ind w:left="1440" w:hanging="360"/>
      </w:pPr>
      <w:rPr>
        <w:rFonts w:ascii="Courier New" w:hAnsi="Courier New" w:cs="Courier New"/>
      </w:rPr>
    </w:lvl>
    <w:lvl w:ilvl="2" w:tentative="0">
      <w:start w:val="1"/>
      <w:numFmt w:val="bullet"/>
      <w:lvlText w:val=""/>
      <w:lvlJc w:val="left"/>
      <w:pPr>
        <w:tabs>
          <w:tab w:val="left" w:pos="0"/>
        </w:tabs>
        <w:ind w:left="2160" w:hanging="360"/>
      </w:pPr>
      <w:rPr>
        <w:rFonts w:ascii="Wingdings" w:hAnsi="Wingdings" w:cs="Wingdings"/>
      </w:rPr>
    </w:lvl>
    <w:lvl w:ilvl="3" w:tentative="0">
      <w:start w:val="1"/>
      <w:numFmt w:val="bullet"/>
      <w:lvlText w:val=""/>
      <w:lvlJc w:val="left"/>
      <w:pPr>
        <w:tabs>
          <w:tab w:val="left" w:pos="0"/>
        </w:tabs>
        <w:ind w:left="2880" w:hanging="360"/>
      </w:pPr>
      <w:rPr>
        <w:rFonts w:ascii="Symbol" w:hAnsi="Symbol" w:cs="Symbol"/>
      </w:rPr>
    </w:lvl>
    <w:lvl w:ilvl="4" w:tentative="0">
      <w:start w:val="1"/>
      <w:numFmt w:val="bullet"/>
      <w:lvlText w:val="o"/>
      <w:lvlJc w:val="left"/>
      <w:pPr>
        <w:tabs>
          <w:tab w:val="left" w:pos="0"/>
        </w:tabs>
        <w:ind w:left="3600" w:hanging="360"/>
      </w:pPr>
      <w:rPr>
        <w:rFonts w:ascii="Courier New" w:hAnsi="Courier New" w:cs="Courier New"/>
      </w:rPr>
    </w:lvl>
    <w:lvl w:ilvl="5" w:tentative="0">
      <w:start w:val="1"/>
      <w:numFmt w:val="bullet"/>
      <w:lvlText w:val=""/>
      <w:lvlJc w:val="left"/>
      <w:pPr>
        <w:tabs>
          <w:tab w:val="left" w:pos="0"/>
        </w:tabs>
        <w:ind w:left="4320" w:hanging="360"/>
      </w:pPr>
      <w:rPr>
        <w:rFonts w:ascii="Wingdings" w:hAnsi="Wingdings" w:cs="Wingdings"/>
      </w:rPr>
    </w:lvl>
    <w:lvl w:ilvl="6" w:tentative="0">
      <w:start w:val="1"/>
      <w:numFmt w:val="bullet"/>
      <w:lvlText w:val=""/>
      <w:lvlJc w:val="left"/>
      <w:pPr>
        <w:tabs>
          <w:tab w:val="left" w:pos="0"/>
        </w:tabs>
        <w:ind w:left="5040" w:hanging="360"/>
      </w:pPr>
      <w:rPr>
        <w:rFonts w:ascii="Symbol" w:hAnsi="Symbol" w:cs="Symbol"/>
      </w:rPr>
    </w:lvl>
    <w:lvl w:ilvl="7" w:tentative="0">
      <w:start w:val="1"/>
      <w:numFmt w:val="bullet"/>
      <w:lvlText w:val="o"/>
      <w:lvlJc w:val="left"/>
      <w:pPr>
        <w:tabs>
          <w:tab w:val="left" w:pos="0"/>
        </w:tabs>
        <w:ind w:left="5760" w:hanging="360"/>
      </w:pPr>
      <w:rPr>
        <w:rFonts w:ascii="Courier New" w:hAnsi="Courier New" w:cs="Courier New"/>
      </w:rPr>
    </w:lvl>
    <w:lvl w:ilvl="8" w:tentative="0">
      <w:start w:val="1"/>
      <w:numFmt w:val="bullet"/>
      <w:lvlText w:val=""/>
      <w:lvlJc w:val="left"/>
      <w:pPr>
        <w:tabs>
          <w:tab w:val="left" w:pos="0"/>
        </w:tabs>
        <w:ind w:left="6480" w:hanging="360"/>
      </w:pPr>
      <w:rPr>
        <w:rFonts w:ascii="Wingdings" w:hAnsi="Wingdings" w:cs="Wingdings"/>
      </w:rPr>
    </w:lvl>
  </w:abstractNum>
  <w:abstractNum w:abstractNumId="2">
    <w:nsid w:val="00000006"/>
    <w:multiLevelType w:val="multilevel"/>
    <w:tmpl w:val="00000006"/>
    <w:lvl w:ilvl="0" w:tentative="0">
      <w:start w:val="1"/>
      <w:numFmt w:val="bullet"/>
      <w:lvlText w:val="•"/>
      <w:lvlJc w:val="left"/>
      <w:pPr>
        <w:tabs>
          <w:tab w:val="left" w:pos="0"/>
        </w:tabs>
        <w:ind w:left="720" w:hanging="360"/>
      </w:pPr>
      <w:rPr>
        <w:rFonts w:ascii="Arial" w:hAnsi="Arial" w:cs="Arial"/>
      </w:rPr>
    </w:lvl>
    <w:lvl w:ilvl="1" w:tentative="0">
      <w:start w:val="1"/>
      <w:numFmt w:val="bullet"/>
      <w:lvlText w:val="o"/>
      <w:lvlJc w:val="left"/>
      <w:pPr>
        <w:tabs>
          <w:tab w:val="left" w:pos="0"/>
        </w:tabs>
        <w:ind w:left="1440" w:hanging="360"/>
      </w:pPr>
      <w:rPr>
        <w:rFonts w:ascii="Courier New" w:hAnsi="Courier New" w:cs="Courier New"/>
      </w:rPr>
    </w:lvl>
    <w:lvl w:ilvl="2" w:tentative="0">
      <w:start w:val="1"/>
      <w:numFmt w:val="bullet"/>
      <w:lvlText w:val=""/>
      <w:lvlJc w:val="left"/>
      <w:pPr>
        <w:tabs>
          <w:tab w:val="left" w:pos="0"/>
        </w:tabs>
        <w:ind w:left="2160" w:hanging="360"/>
      </w:pPr>
      <w:rPr>
        <w:rFonts w:ascii="Wingdings" w:hAnsi="Wingdings" w:cs="Wingdings"/>
      </w:rPr>
    </w:lvl>
    <w:lvl w:ilvl="3" w:tentative="0">
      <w:start w:val="1"/>
      <w:numFmt w:val="bullet"/>
      <w:lvlText w:val=""/>
      <w:lvlJc w:val="left"/>
      <w:pPr>
        <w:tabs>
          <w:tab w:val="left" w:pos="0"/>
        </w:tabs>
        <w:ind w:left="2880" w:hanging="360"/>
      </w:pPr>
      <w:rPr>
        <w:rFonts w:ascii="Symbol" w:hAnsi="Symbol" w:cs="Symbol"/>
      </w:rPr>
    </w:lvl>
    <w:lvl w:ilvl="4" w:tentative="0">
      <w:start w:val="1"/>
      <w:numFmt w:val="bullet"/>
      <w:lvlText w:val="o"/>
      <w:lvlJc w:val="left"/>
      <w:pPr>
        <w:tabs>
          <w:tab w:val="left" w:pos="0"/>
        </w:tabs>
        <w:ind w:left="3600" w:hanging="360"/>
      </w:pPr>
      <w:rPr>
        <w:rFonts w:ascii="Courier New" w:hAnsi="Courier New" w:cs="Courier New"/>
      </w:rPr>
    </w:lvl>
    <w:lvl w:ilvl="5" w:tentative="0">
      <w:start w:val="1"/>
      <w:numFmt w:val="bullet"/>
      <w:lvlText w:val=""/>
      <w:lvlJc w:val="left"/>
      <w:pPr>
        <w:tabs>
          <w:tab w:val="left" w:pos="0"/>
        </w:tabs>
        <w:ind w:left="4320" w:hanging="360"/>
      </w:pPr>
      <w:rPr>
        <w:rFonts w:ascii="Wingdings" w:hAnsi="Wingdings" w:cs="Wingdings"/>
      </w:rPr>
    </w:lvl>
    <w:lvl w:ilvl="6" w:tentative="0">
      <w:start w:val="1"/>
      <w:numFmt w:val="bullet"/>
      <w:lvlText w:val=""/>
      <w:lvlJc w:val="left"/>
      <w:pPr>
        <w:tabs>
          <w:tab w:val="left" w:pos="0"/>
        </w:tabs>
        <w:ind w:left="5040" w:hanging="360"/>
      </w:pPr>
      <w:rPr>
        <w:rFonts w:ascii="Symbol" w:hAnsi="Symbol" w:cs="Symbol"/>
      </w:rPr>
    </w:lvl>
    <w:lvl w:ilvl="7" w:tentative="0">
      <w:start w:val="1"/>
      <w:numFmt w:val="bullet"/>
      <w:lvlText w:val="o"/>
      <w:lvlJc w:val="left"/>
      <w:pPr>
        <w:tabs>
          <w:tab w:val="left" w:pos="0"/>
        </w:tabs>
        <w:ind w:left="5760" w:hanging="360"/>
      </w:pPr>
      <w:rPr>
        <w:rFonts w:ascii="Courier New" w:hAnsi="Courier New" w:cs="Courier New"/>
      </w:rPr>
    </w:lvl>
    <w:lvl w:ilvl="8" w:tentative="0">
      <w:start w:val="1"/>
      <w:numFmt w:val="bullet"/>
      <w:lvlText w:val=""/>
      <w:lvlJc w:val="left"/>
      <w:pPr>
        <w:tabs>
          <w:tab w:val="left" w:pos="0"/>
        </w:tabs>
        <w:ind w:left="6480" w:hanging="360"/>
      </w:pPr>
      <w:rPr>
        <w:rFonts w:ascii="Wingdings" w:hAnsi="Wingdings" w:cs="Wingdings"/>
      </w:rPr>
    </w:lvl>
  </w:abstractNum>
  <w:abstractNum w:abstractNumId="3">
    <w:nsid w:val="00000007"/>
    <w:multiLevelType w:val="multilevel"/>
    <w:tmpl w:val="00000007"/>
    <w:lvl w:ilvl="0" w:tentative="0">
      <w:start w:val="1"/>
      <w:numFmt w:val="bullet"/>
      <w:lvlText w:val="•"/>
      <w:lvlJc w:val="left"/>
      <w:pPr>
        <w:tabs>
          <w:tab w:val="left" w:pos="0"/>
        </w:tabs>
        <w:ind w:left="720" w:hanging="360"/>
      </w:pPr>
      <w:rPr>
        <w:rFonts w:ascii="Arial" w:hAnsi="Arial" w:cs="Arial"/>
      </w:rPr>
    </w:lvl>
    <w:lvl w:ilvl="1" w:tentative="0">
      <w:start w:val="1"/>
      <w:numFmt w:val="bullet"/>
      <w:lvlText w:val="o"/>
      <w:lvlJc w:val="left"/>
      <w:pPr>
        <w:tabs>
          <w:tab w:val="left" w:pos="0"/>
        </w:tabs>
        <w:ind w:left="1440" w:hanging="360"/>
      </w:pPr>
      <w:rPr>
        <w:rFonts w:ascii="Courier New" w:hAnsi="Courier New" w:cs="Courier New"/>
      </w:rPr>
    </w:lvl>
    <w:lvl w:ilvl="2" w:tentative="0">
      <w:start w:val="1"/>
      <w:numFmt w:val="bullet"/>
      <w:lvlText w:val=""/>
      <w:lvlJc w:val="left"/>
      <w:pPr>
        <w:tabs>
          <w:tab w:val="left" w:pos="0"/>
        </w:tabs>
        <w:ind w:left="2160" w:hanging="360"/>
      </w:pPr>
      <w:rPr>
        <w:rFonts w:ascii="Wingdings" w:hAnsi="Wingdings" w:cs="Wingdings"/>
      </w:rPr>
    </w:lvl>
    <w:lvl w:ilvl="3" w:tentative="0">
      <w:start w:val="1"/>
      <w:numFmt w:val="bullet"/>
      <w:lvlText w:val=""/>
      <w:lvlJc w:val="left"/>
      <w:pPr>
        <w:tabs>
          <w:tab w:val="left" w:pos="0"/>
        </w:tabs>
        <w:ind w:left="2880" w:hanging="360"/>
      </w:pPr>
      <w:rPr>
        <w:rFonts w:ascii="Symbol" w:hAnsi="Symbol" w:cs="Symbol"/>
      </w:rPr>
    </w:lvl>
    <w:lvl w:ilvl="4" w:tentative="0">
      <w:start w:val="1"/>
      <w:numFmt w:val="bullet"/>
      <w:lvlText w:val="o"/>
      <w:lvlJc w:val="left"/>
      <w:pPr>
        <w:tabs>
          <w:tab w:val="left" w:pos="0"/>
        </w:tabs>
        <w:ind w:left="3600" w:hanging="360"/>
      </w:pPr>
      <w:rPr>
        <w:rFonts w:ascii="Courier New" w:hAnsi="Courier New" w:cs="Courier New"/>
      </w:rPr>
    </w:lvl>
    <w:lvl w:ilvl="5" w:tentative="0">
      <w:start w:val="1"/>
      <w:numFmt w:val="bullet"/>
      <w:lvlText w:val=""/>
      <w:lvlJc w:val="left"/>
      <w:pPr>
        <w:tabs>
          <w:tab w:val="left" w:pos="0"/>
        </w:tabs>
        <w:ind w:left="4320" w:hanging="360"/>
      </w:pPr>
      <w:rPr>
        <w:rFonts w:ascii="Wingdings" w:hAnsi="Wingdings" w:cs="Wingdings"/>
      </w:rPr>
    </w:lvl>
    <w:lvl w:ilvl="6" w:tentative="0">
      <w:start w:val="1"/>
      <w:numFmt w:val="bullet"/>
      <w:lvlText w:val=""/>
      <w:lvlJc w:val="left"/>
      <w:pPr>
        <w:tabs>
          <w:tab w:val="left" w:pos="0"/>
        </w:tabs>
        <w:ind w:left="5040" w:hanging="360"/>
      </w:pPr>
      <w:rPr>
        <w:rFonts w:ascii="Symbol" w:hAnsi="Symbol" w:cs="Symbol"/>
      </w:rPr>
    </w:lvl>
    <w:lvl w:ilvl="7" w:tentative="0">
      <w:start w:val="1"/>
      <w:numFmt w:val="bullet"/>
      <w:lvlText w:val="o"/>
      <w:lvlJc w:val="left"/>
      <w:pPr>
        <w:tabs>
          <w:tab w:val="left" w:pos="0"/>
        </w:tabs>
        <w:ind w:left="5760" w:hanging="360"/>
      </w:pPr>
      <w:rPr>
        <w:rFonts w:ascii="Courier New" w:hAnsi="Courier New" w:cs="Courier New"/>
      </w:rPr>
    </w:lvl>
    <w:lvl w:ilvl="8" w:tentative="0">
      <w:start w:val="1"/>
      <w:numFmt w:val="bullet"/>
      <w:lvlText w:val=""/>
      <w:lvlJc w:val="left"/>
      <w:pPr>
        <w:tabs>
          <w:tab w:val="left" w:pos="0"/>
        </w:tabs>
        <w:ind w:left="6480" w:hanging="360"/>
      </w:pPr>
      <w:rPr>
        <w:rFonts w:ascii="Wingdings" w:hAnsi="Wingdings" w:cs="Wingdings"/>
      </w:rPr>
    </w:lvl>
  </w:abstractNum>
  <w:abstractNum w:abstractNumId="4">
    <w:nsid w:val="00000010"/>
    <w:multiLevelType w:val="multilevel"/>
    <w:tmpl w:val="00000010"/>
    <w:lvl w:ilvl="0" w:tentative="0">
      <w:start w:val="1"/>
      <w:numFmt w:val="bullet"/>
      <w:lvlText w:val=""/>
      <w:lvlJc w:val="left"/>
      <w:pPr>
        <w:tabs>
          <w:tab w:val="left" w:pos="0"/>
        </w:tabs>
        <w:ind w:left="720" w:hanging="360"/>
      </w:pPr>
      <w:rPr>
        <w:rFonts w:ascii="Symbol" w:hAnsi="Symbol"/>
      </w:rPr>
    </w:lvl>
    <w:lvl w:ilvl="1" w:tentative="0">
      <w:start w:val="1"/>
      <w:numFmt w:val="bullet"/>
      <w:lvlText w:val="o"/>
      <w:lvlJc w:val="left"/>
      <w:pPr>
        <w:tabs>
          <w:tab w:val="left" w:pos="0"/>
        </w:tabs>
        <w:ind w:left="1440" w:hanging="360"/>
      </w:pPr>
      <w:rPr>
        <w:rFonts w:ascii="Courier New" w:hAnsi="Courier New" w:cs="Courier New"/>
      </w:rPr>
    </w:lvl>
    <w:lvl w:ilvl="2" w:tentative="0">
      <w:start w:val="1"/>
      <w:numFmt w:val="bullet"/>
      <w:lvlText w:val=""/>
      <w:lvlJc w:val="left"/>
      <w:pPr>
        <w:tabs>
          <w:tab w:val="left" w:pos="0"/>
        </w:tabs>
        <w:ind w:left="2160" w:hanging="360"/>
      </w:pPr>
      <w:rPr>
        <w:rFonts w:ascii="Wingdings" w:hAnsi="Wingdings"/>
      </w:rPr>
    </w:lvl>
    <w:lvl w:ilvl="3" w:tentative="0">
      <w:start w:val="1"/>
      <w:numFmt w:val="bullet"/>
      <w:lvlText w:val=""/>
      <w:lvlJc w:val="left"/>
      <w:pPr>
        <w:tabs>
          <w:tab w:val="left" w:pos="0"/>
        </w:tabs>
        <w:ind w:left="2880" w:hanging="360"/>
      </w:pPr>
      <w:rPr>
        <w:rFonts w:ascii="Symbol" w:hAnsi="Symbol"/>
      </w:rPr>
    </w:lvl>
    <w:lvl w:ilvl="4" w:tentative="0">
      <w:start w:val="1"/>
      <w:numFmt w:val="bullet"/>
      <w:lvlText w:val="o"/>
      <w:lvlJc w:val="left"/>
      <w:pPr>
        <w:tabs>
          <w:tab w:val="left" w:pos="0"/>
        </w:tabs>
        <w:ind w:left="3600" w:hanging="360"/>
      </w:pPr>
      <w:rPr>
        <w:rFonts w:ascii="Courier New" w:hAnsi="Courier New" w:cs="Courier New"/>
      </w:rPr>
    </w:lvl>
    <w:lvl w:ilvl="5" w:tentative="0">
      <w:start w:val="1"/>
      <w:numFmt w:val="bullet"/>
      <w:lvlText w:val=""/>
      <w:lvlJc w:val="left"/>
      <w:pPr>
        <w:tabs>
          <w:tab w:val="left" w:pos="0"/>
        </w:tabs>
        <w:ind w:left="4320" w:hanging="360"/>
      </w:pPr>
      <w:rPr>
        <w:rFonts w:ascii="Wingdings" w:hAnsi="Wingdings"/>
      </w:rPr>
    </w:lvl>
    <w:lvl w:ilvl="6" w:tentative="0">
      <w:start w:val="1"/>
      <w:numFmt w:val="bullet"/>
      <w:lvlText w:val=""/>
      <w:lvlJc w:val="left"/>
      <w:pPr>
        <w:tabs>
          <w:tab w:val="left" w:pos="0"/>
        </w:tabs>
        <w:ind w:left="5040" w:hanging="360"/>
      </w:pPr>
      <w:rPr>
        <w:rFonts w:ascii="Symbol" w:hAnsi="Symbol"/>
      </w:rPr>
    </w:lvl>
    <w:lvl w:ilvl="7" w:tentative="0">
      <w:start w:val="1"/>
      <w:numFmt w:val="bullet"/>
      <w:lvlText w:val="o"/>
      <w:lvlJc w:val="left"/>
      <w:pPr>
        <w:tabs>
          <w:tab w:val="left" w:pos="0"/>
        </w:tabs>
        <w:ind w:left="5760" w:hanging="360"/>
      </w:pPr>
      <w:rPr>
        <w:rFonts w:ascii="Courier New" w:hAnsi="Courier New" w:cs="Courier New"/>
      </w:rPr>
    </w:lvl>
    <w:lvl w:ilvl="8" w:tentative="0">
      <w:start w:val="1"/>
      <w:numFmt w:val="bullet"/>
      <w:lvlText w:val=""/>
      <w:lvlJc w:val="left"/>
      <w:pPr>
        <w:tabs>
          <w:tab w:val="left" w:pos="0"/>
        </w:tabs>
        <w:ind w:left="6480" w:hanging="360"/>
      </w:pPr>
      <w:rPr>
        <w:rFonts w:ascii="Wingdings" w:hAnsi="Wingdings"/>
      </w:rPr>
    </w:lvl>
  </w:abstractNum>
  <w:abstractNum w:abstractNumId="5">
    <w:nsid w:val="00000011"/>
    <w:multiLevelType w:val="multilevel"/>
    <w:tmpl w:val="00000011"/>
    <w:lvl w:ilvl="0" w:tentative="0">
      <w:start w:val="1"/>
      <w:numFmt w:val="bullet"/>
      <w:lvlText w:val=""/>
      <w:lvlJc w:val="left"/>
      <w:pPr>
        <w:tabs>
          <w:tab w:val="left" w:pos="0"/>
        </w:tabs>
        <w:ind w:left="720" w:hanging="360"/>
      </w:pPr>
      <w:rPr>
        <w:rFonts w:ascii="Symbol" w:hAnsi="Symbol"/>
      </w:rPr>
    </w:lvl>
    <w:lvl w:ilvl="1" w:tentative="0">
      <w:start w:val="1"/>
      <w:numFmt w:val="bullet"/>
      <w:lvlText w:val="o"/>
      <w:lvlJc w:val="left"/>
      <w:pPr>
        <w:tabs>
          <w:tab w:val="left" w:pos="0"/>
        </w:tabs>
        <w:ind w:left="1440" w:hanging="360"/>
      </w:pPr>
      <w:rPr>
        <w:rFonts w:ascii="Courier New" w:hAnsi="Courier New" w:cs="Courier New"/>
      </w:rPr>
    </w:lvl>
    <w:lvl w:ilvl="2" w:tentative="0">
      <w:start w:val="1"/>
      <w:numFmt w:val="bullet"/>
      <w:lvlText w:val=""/>
      <w:lvlJc w:val="left"/>
      <w:pPr>
        <w:tabs>
          <w:tab w:val="left" w:pos="0"/>
        </w:tabs>
        <w:ind w:left="2160" w:hanging="360"/>
      </w:pPr>
      <w:rPr>
        <w:rFonts w:ascii="Wingdings" w:hAnsi="Wingdings"/>
      </w:rPr>
    </w:lvl>
    <w:lvl w:ilvl="3" w:tentative="0">
      <w:start w:val="1"/>
      <w:numFmt w:val="bullet"/>
      <w:lvlText w:val=""/>
      <w:lvlJc w:val="left"/>
      <w:pPr>
        <w:tabs>
          <w:tab w:val="left" w:pos="0"/>
        </w:tabs>
        <w:ind w:left="2880" w:hanging="360"/>
      </w:pPr>
      <w:rPr>
        <w:rFonts w:ascii="Symbol" w:hAnsi="Symbol"/>
      </w:rPr>
    </w:lvl>
    <w:lvl w:ilvl="4" w:tentative="0">
      <w:start w:val="1"/>
      <w:numFmt w:val="bullet"/>
      <w:lvlText w:val="o"/>
      <w:lvlJc w:val="left"/>
      <w:pPr>
        <w:tabs>
          <w:tab w:val="left" w:pos="0"/>
        </w:tabs>
        <w:ind w:left="3600" w:hanging="360"/>
      </w:pPr>
      <w:rPr>
        <w:rFonts w:ascii="Courier New" w:hAnsi="Courier New" w:cs="Courier New"/>
      </w:rPr>
    </w:lvl>
    <w:lvl w:ilvl="5" w:tentative="0">
      <w:start w:val="1"/>
      <w:numFmt w:val="bullet"/>
      <w:lvlText w:val=""/>
      <w:lvlJc w:val="left"/>
      <w:pPr>
        <w:tabs>
          <w:tab w:val="left" w:pos="0"/>
        </w:tabs>
        <w:ind w:left="4320" w:hanging="360"/>
      </w:pPr>
      <w:rPr>
        <w:rFonts w:ascii="Wingdings" w:hAnsi="Wingdings"/>
      </w:rPr>
    </w:lvl>
    <w:lvl w:ilvl="6" w:tentative="0">
      <w:start w:val="1"/>
      <w:numFmt w:val="bullet"/>
      <w:lvlText w:val=""/>
      <w:lvlJc w:val="left"/>
      <w:pPr>
        <w:tabs>
          <w:tab w:val="left" w:pos="0"/>
        </w:tabs>
        <w:ind w:left="5040" w:hanging="360"/>
      </w:pPr>
      <w:rPr>
        <w:rFonts w:ascii="Symbol" w:hAnsi="Symbol"/>
      </w:rPr>
    </w:lvl>
    <w:lvl w:ilvl="7" w:tentative="0">
      <w:start w:val="1"/>
      <w:numFmt w:val="bullet"/>
      <w:lvlText w:val="o"/>
      <w:lvlJc w:val="left"/>
      <w:pPr>
        <w:tabs>
          <w:tab w:val="left" w:pos="0"/>
        </w:tabs>
        <w:ind w:left="5760" w:hanging="360"/>
      </w:pPr>
      <w:rPr>
        <w:rFonts w:ascii="Courier New" w:hAnsi="Courier New" w:cs="Courier New"/>
      </w:rPr>
    </w:lvl>
    <w:lvl w:ilvl="8" w:tentative="0">
      <w:start w:val="1"/>
      <w:numFmt w:val="bullet"/>
      <w:lvlText w:val=""/>
      <w:lvlJc w:val="left"/>
      <w:pPr>
        <w:tabs>
          <w:tab w:val="left" w:pos="0"/>
        </w:tabs>
        <w:ind w:left="6480" w:hanging="360"/>
      </w:pPr>
      <w:rPr>
        <w:rFonts w:ascii="Wingdings" w:hAnsi="Wingdings"/>
      </w:rPr>
    </w:lvl>
  </w:abstractNum>
  <w:abstractNum w:abstractNumId="6">
    <w:nsid w:val="00000012"/>
    <w:multiLevelType w:val="multilevel"/>
    <w:tmpl w:val="00000012"/>
    <w:lvl w:ilvl="0" w:tentative="0">
      <w:start w:val="1"/>
      <w:numFmt w:val="lowerLetter"/>
      <w:lvlText w:val="%1."/>
      <w:lvlJc w:val="left"/>
      <w:pPr>
        <w:tabs>
          <w:tab w:val="left" w:pos="0"/>
        </w:tabs>
        <w:ind w:left="720" w:hanging="360"/>
      </w:pPr>
    </w:lvl>
    <w:lvl w:ilvl="1" w:tentative="0">
      <w:start w:val="1"/>
      <w:numFmt w:val="lowerLetter"/>
      <w:lvlText w:val="%2."/>
      <w:lvlJc w:val="left"/>
      <w:pPr>
        <w:tabs>
          <w:tab w:val="left" w:pos="0"/>
        </w:tabs>
        <w:ind w:left="1440" w:hanging="360"/>
      </w:pPr>
    </w:lvl>
    <w:lvl w:ilvl="2" w:tentative="0">
      <w:start w:val="1"/>
      <w:numFmt w:val="lowerRoman"/>
      <w:lvlText w:val="%3."/>
      <w:lvlJc w:val="right"/>
      <w:pPr>
        <w:tabs>
          <w:tab w:val="left" w:pos="0"/>
        </w:tabs>
        <w:ind w:left="2160" w:hanging="180"/>
      </w:pPr>
    </w:lvl>
    <w:lvl w:ilvl="3" w:tentative="0">
      <w:start w:val="1"/>
      <w:numFmt w:val="decimal"/>
      <w:lvlText w:val="%4."/>
      <w:lvlJc w:val="left"/>
      <w:pPr>
        <w:tabs>
          <w:tab w:val="left" w:pos="0"/>
        </w:tabs>
        <w:ind w:left="2880" w:hanging="360"/>
      </w:pPr>
    </w:lvl>
    <w:lvl w:ilvl="4" w:tentative="0">
      <w:start w:val="1"/>
      <w:numFmt w:val="lowerLetter"/>
      <w:lvlText w:val="%5."/>
      <w:lvlJc w:val="left"/>
      <w:pPr>
        <w:tabs>
          <w:tab w:val="left" w:pos="0"/>
        </w:tabs>
        <w:ind w:left="3600" w:hanging="360"/>
      </w:pPr>
    </w:lvl>
    <w:lvl w:ilvl="5" w:tentative="0">
      <w:start w:val="1"/>
      <w:numFmt w:val="lowerRoman"/>
      <w:lvlText w:val="%6."/>
      <w:lvlJc w:val="right"/>
      <w:pPr>
        <w:tabs>
          <w:tab w:val="left" w:pos="0"/>
        </w:tabs>
        <w:ind w:left="4320" w:hanging="180"/>
      </w:pPr>
    </w:lvl>
    <w:lvl w:ilvl="6" w:tentative="0">
      <w:start w:val="1"/>
      <w:numFmt w:val="decimal"/>
      <w:lvlText w:val="%7."/>
      <w:lvlJc w:val="left"/>
      <w:pPr>
        <w:tabs>
          <w:tab w:val="left" w:pos="0"/>
        </w:tabs>
        <w:ind w:left="5040" w:hanging="360"/>
      </w:pPr>
    </w:lvl>
    <w:lvl w:ilvl="7" w:tentative="0">
      <w:start w:val="1"/>
      <w:numFmt w:val="lowerLetter"/>
      <w:lvlText w:val="%8."/>
      <w:lvlJc w:val="left"/>
      <w:pPr>
        <w:tabs>
          <w:tab w:val="left" w:pos="0"/>
        </w:tabs>
        <w:ind w:left="5760" w:hanging="360"/>
      </w:pPr>
    </w:lvl>
    <w:lvl w:ilvl="8" w:tentative="0">
      <w:start w:val="1"/>
      <w:numFmt w:val="lowerRoman"/>
      <w:lvlText w:val="%9."/>
      <w:lvlJc w:val="right"/>
      <w:pPr>
        <w:tabs>
          <w:tab w:val="left" w:pos="0"/>
        </w:tabs>
        <w:ind w:left="6480" w:hanging="180"/>
      </w:pPr>
    </w:lvl>
  </w:abstractNum>
  <w:abstractNum w:abstractNumId="7">
    <w:nsid w:val="0241294E"/>
    <w:multiLevelType w:val="multilevel"/>
    <w:tmpl w:val="0241294E"/>
    <w:lvl w:ilvl="0" w:tentative="0">
      <w:start w:val="3"/>
      <w:numFmt w:val="decimal"/>
      <w:lvlText w:val="%1."/>
      <w:lvlJc w:val="left"/>
      <w:pPr>
        <w:ind w:left="540" w:hanging="540"/>
      </w:pPr>
      <w:rPr>
        <w:rFonts w:hint="default"/>
      </w:rPr>
    </w:lvl>
    <w:lvl w:ilvl="1" w:tentative="0">
      <w:start w:val="2"/>
      <w:numFmt w:val="decimal"/>
      <w:lvlText w:val="%1.%2."/>
      <w:lvlJc w:val="left"/>
      <w:pPr>
        <w:ind w:left="720" w:hanging="720"/>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440" w:hanging="144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800" w:hanging="1800"/>
      </w:pPr>
      <w:rPr>
        <w:rFonts w:hint="default"/>
      </w:rPr>
    </w:lvl>
    <w:lvl w:ilvl="8" w:tentative="0">
      <w:start w:val="1"/>
      <w:numFmt w:val="decimal"/>
      <w:lvlText w:val="%1.%2.%3.%4.%5.%6.%7.%8.%9."/>
      <w:lvlJc w:val="left"/>
      <w:pPr>
        <w:ind w:left="1800" w:hanging="1800"/>
      </w:pPr>
      <w:rPr>
        <w:rFonts w:hint="default"/>
      </w:rPr>
    </w:lvl>
  </w:abstractNum>
  <w:abstractNum w:abstractNumId="8">
    <w:nsid w:val="08FE3961"/>
    <w:multiLevelType w:val="multilevel"/>
    <w:tmpl w:val="08FE3961"/>
    <w:lvl w:ilvl="0" w:tentative="0">
      <w:start w:val="3"/>
      <w:numFmt w:val="decimal"/>
      <w:lvlText w:val="%1."/>
      <w:lvlJc w:val="left"/>
      <w:pPr>
        <w:ind w:left="540" w:hanging="540"/>
      </w:pPr>
      <w:rPr>
        <w:rFonts w:hint="default"/>
      </w:rPr>
    </w:lvl>
    <w:lvl w:ilvl="1" w:tentative="0">
      <w:start w:val="3"/>
      <w:numFmt w:val="decimal"/>
      <w:lvlText w:val="%1.%2."/>
      <w:lvlJc w:val="left"/>
      <w:pPr>
        <w:ind w:left="720" w:hanging="720"/>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440" w:hanging="144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800" w:hanging="1800"/>
      </w:pPr>
      <w:rPr>
        <w:rFonts w:hint="default"/>
      </w:rPr>
    </w:lvl>
    <w:lvl w:ilvl="8" w:tentative="0">
      <w:start w:val="1"/>
      <w:numFmt w:val="decimal"/>
      <w:lvlText w:val="%1.%2.%3.%4.%5.%6.%7.%8.%9."/>
      <w:lvlJc w:val="left"/>
      <w:pPr>
        <w:ind w:left="1800" w:hanging="1800"/>
      </w:pPr>
      <w:rPr>
        <w:rFonts w:hint="default"/>
      </w:rPr>
    </w:lvl>
  </w:abstractNum>
  <w:abstractNum w:abstractNumId="9">
    <w:nsid w:val="0E4B7A1A"/>
    <w:multiLevelType w:val="multilevel"/>
    <w:tmpl w:val="0E4B7A1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
    <w:nsid w:val="0F9D1ED8"/>
    <w:multiLevelType w:val="multilevel"/>
    <w:tmpl w:val="0F9D1ED8"/>
    <w:lvl w:ilvl="0" w:tentative="0">
      <w:start w:val="1"/>
      <w:numFmt w:val="lowerLetter"/>
      <w:lvlText w:val="%1."/>
      <w:lvlJc w:val="left"/>
      <w:pPr>
        <w:ind w:left="928" w:hanging="360"/>
      </w:pPr>
    </w:lvl>
    <w:lvl w:ilvl="1" w:tentative="0">
      <w:start w:val="1"/>
      <w:numFmt w:val="lowerLetter"/>
      <w:lvlText w:val="%2."/>
      <w:lvlJc w:val="left"/>
      <w:pPr>
        <w:ind w:left="1648" w:hanging="360"/>
      </w:pPr>
    </w:lvl>
    <w:lvl w:ilvl="2" w:tentative="0">
      <w:start w:val="1"/>
      <w:numFmt w:val="lowerLetter"/>
      <w:lvlText w:val="%3."/>
      <w:lvlJc w:val="left"/>
      <w:pPr>
        <w:ind w:left="2548" w:hanging="360"/>
      </w:pPr>
      <w:rPr>
        <w:rFonts w:hint="default"/>
      </w:rPr>
    </w:lvl>
    <w:lvl w:ilvl="3" w:tentative="0">
      <w:start w:val="1"/>
      <w:numFmt w:val="upperLetter"/>
      <w:lvlText w:val="%4."/>
      <w:lvlJc w:val="left"/>
      <w:pPr>
        <w:ind w:left="3088" w:hanging="360"/>
      </w:pPr>
      <w:rPr>
        <w:rFonts w:hint="default"/>
        <w:b/>
      </w:rPr>
    </w:lvl>
    <w:lvl w:ilvl="4" w:tentative="0">
      <w:start w:val="1"/>
      <w:numFmt w:val="lowerLetter"/>
      <w:lvlText w:val="%5."/>
      <w:lvlJc w:val="left"/>
      <w:pPr>
        <w:ind w:left="3808" w:hanging="360"/>
      </w:pPr>
    </w:lvl>
    <w:lvl w:ilvl="5" w:tentative="0">
      <w:start w:val="1"/>
      <w:numFmt w:val="lowerRoman"/>
      <w:lvlText w:val="%6."/>
      <w:lvlJc w:val="right"/>
      <w:pPr>
        <w:ind w:left="4528" w:hanging="180"/>
      </w:pPr>
    </w:lvl>
    <w:lvl w:ilvl="6" w:tentative="0">
      <w:start w:val="1"/>
      <w:numFmt w:val="decimal"/>
      <w:lvlText w:val="%7."/>
      <w:lvlJc w:val="left"/>
      <w:pPr>
        <w:ind w:left="5248" w:hanging="360"/>
      </w:pPr>
    </w:lvl>
    <w:lvl w:ilvl="7" w:tentative="0">
      <w:start w:val="1"/>
      <w:numFmt w:val="lowerLetter"/>
      <w:lvlText w:val="%8."/>
      <w:lvlJc w:val="left"/>
      <w:pPr>
        <w:ind w:left="5968" w:hanging="360"/>
      </w:pPr>
    </w:lvl>
    <w:lvl w:ilvl="8" w:tentative="0">
      <w:start w:val="1"/>
      <w:numFmt w:val="lowerRoman"/>
      <w:lvlText w:val="%9."/>
      <w:lvlJc w:val="right"/>
      <w:pPr>
        <w:ind w:left="6688" w:hanging="180"/>
      </w:pPr>
    </w:lvl>
  </w:abstractNum>
  <w:abstractNum w:abstractNumId="11">
    <w:nsid w:val="10D73116"/>
    <w:multiLevelType w:val="multilevel"/>
    <w:tmpl w:val="10D73116"/>
    <w:lvl w:ilvl="0" w:tentative="0">
      <w:start w:val="0"/>
      <w:numFmt w:val="bullet"/>
      <w:lvlText w:val="•"/>
      <w:lvlJc w:val="left"/>
      <w:pPr>
        <w:ind w:left="720" w:hanging="360"/>
      </w:pPr>
      <w:rPr>
        <w:rFonts w:hint="default" w:ascii="Arial" w:hAnsi="Arial" w:eastAsia="Times New Roman" w:cs="Aria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18BC0BFE"/>
    <w:multiLevelType w:val="multilevel"/>
    <w:tmpl w:val="18BC0BFE"/>
    <w:lvl w:ilvl="0" w:tentative="0">
      <w:start w:val="0"/>
      <w:numFmt w:val="bullet"/>
      <w:lvlText w:val="•"/>
      <w:lvlJc w:val="left"/>
      <w:pPr>
        <w:tabs>
          <w:tab w:val="left" w:pos="1854"/>
        </w:tabs>
        <w:ind w:left="1854" w:hanging="360"/>
      </w:pPr>
      <w:rPr>
        <w:rFonts w:hint="default" w:ascii="Arial" w:hAnsi="Arial" w:eastAsia="Times New Roman" w:cs="Arial"/>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3">
    <w:nsid w:val="18D8476A"/>
    <w:multiLevelType w:val="multilevel"/>
    <w:tmpl w:val="18D8476A"/>
    <w:lvl w:ilvl="0" w:tentative="0">
      <w:start w:val="1"/>
      <w:numFmt w:val="lowerLetter"/>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4">
    <w:nsid w:val="21171BD4"/>
    <w:multiLevelType w:val="multilevel"/>
    <w:tmpl w:val="21171BD4"/>
    <w:lvl w:ilvl="0" w:tentative="0">
      <w:start w:val="1"/>
      <w:numFmt w:val="bullet"/>
      <w:lvlText w:val=""/>
      <w:lvlJc w:val="left"/>
      <w:pPr>
        <w:ind w:left="720" w:hanging="360"/>
      </w:pPr>
      <w:rPr>
        <w:rFonts w:hint="default" w:ascii="Symbol" w:hAnsi="Symbol"/>
        <w:color w:val="auto"/>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5">
    <w:nsid w:val="250563FB"/>
    <w:multiLevelType w:val="multilevel"/>
    <w:tmpl w:val="250563F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6">
    <w:nsid w:val="2BBB6648"/>
    <w:multiLevelType w:val="multilevel"/>
    <w:tmpl w:val="2BBB6648"/>
    <w:lvl w:ilvl="0" w:tentative="0">
      <w:start w:val="1"/>
      <w:numFmt w:val="low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7">
    <w:nsid w:val="2CF85418"/>
    <w:multiLevelType w:val="multilevel"/>
    <w:tmpl w:val="2CF85418"/>
    <w:lvl w:ilvl="0" w:tentative="0">
      <w:start w:val="3"/>
      <w:numFmt w:val="decimal"/>
      <w:lvlText w:val="%1."/>
      <w:lvlJc w:val="left"/>
      <w:pPr>
        <w:ind w:left="720" w:hanging="720"/>
      </w:pPr>
      <w:rPr>
        <w:rFonts w:hint="default"/>
      </w:rPr>
    </w:lvl>
    <w:lvl w:ilvl="1" w:tentative="0">
      <w:start w:val="2"/>
      <w:numFmt w:val="decimal"/>
      <w:lvlText w:val="%1.%2."/>
      <w:lvlJc w:val="left"/>
      <w:pPr>
        <w:ind w:left="720" w:hanging="720"/>
      </w:pPr>
      <w:rPr>
        <w:rFonts w:hint="default"/>
      </w:rPr>
    </w:lvl>
    <w:lvl w:ilvl="2" w:tentative="0">
      <w:start w:val="2"/>
      <w:numFmt w:val="decimal"/>
      <w:lvlText w:val="%1.%2.%3."/>
      <w:lvlJc w:val="left"/>
      <w:pPr>
        <w:ind w:left="720" w:hanging="72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440" w:hanging="144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800" w:hanging="1800"/>
      </w:pPr>
      <w:rPr>
        <w:rFonts w:hint="default"/>
      </w:rPr>
    </w:lvl>
    <w:lvl w:ilvl="8" w:tentative="0">
      <w:start w:val="1"/>
      <w:numFmt w:val="decimal"/>
      <w:lvlText w:val="%1.%2.%3.%4.%5.%6.%7.%8.%9."/>
      <w:lvlJc w:val="left"/>
      <w:pPr>
        <w:ind w:left="1800" w:hanging="1800"/>
      </w:pPr>
      <w:rPr>
        <w:rFonts w:hint="default"/>
      </w:rPr>
    </w:lvl>
  </w:abstractNum>
  <w:abstractNum w:abstractNumId="18">
    <w:nsid w:val="2E0C2D39"/>
    <w:multiLevelType w:val="multilevel"/>
    <w:tmpl w:val="2E0C2D39"/>
    <w:lvl w:ilvl="0" w:tentative="0">
      <w:start w:val="4"/>
      <w:numFmt w:val="decimal"/>
      <w:lvlText w:val="%1."/>
      <w:lvlJc w:val="left"/>
      <w:pPr>
        <w:ind w:left="540" w:hanging="540"/>
      </w:pPr>
      <w:rPr>
        <w:rFonts w:hint="default"/>
      </w:rPr>
    </w:lvl>
    <w:lvl w:ilvl="1" w:tentative="0">
      <w:start w:val="1"/>
      <w:numFmt w:val="decimal"/>
      <w:lvlText w:val="%1.%2."/>
      <w:lvlJc w:val="left"/>
      <w:pPr>
        <w:ind w:left="720" w:hanging="720"/>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440" w:hanging="144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800" w:hanging="1800"/>
      </w:pPr>
      <w:rPr>
        <w:rFonts w:hint="default"/>
      </w:rPr>
    </w:lvl>
    <w:lvl w:ilvl="8" w:tentative="0">
      <w:start w:val="1"/>
      <w:numFmt w:val="decimal"/>
      <w:lvlText w:val="%1.%2.%3.%4.%5.%6.%7.%8.%9."/>
      <w:lvlJc w:val="left"/>
      <w:pPr>
        <w:ind w:left="1800" w:hanging="1800"/>
      </w:pPr>
      <w:rPr>
        <w:rFonts w:hint="default"/>
      </w:rPr>
    </w:lvl>
  </w:abstractNum>
  <w:abstractNum w:abstractNumId="19">
    <w:nsid w:val="2FB5761B"/>
    <w:multiLevelType w:val="multilevel"/>
    <w:tmpl w:val="2FB5761B"/>
    <w:lvl w:ilvl="0" w:tentative="0">
      <w:start w:val="1"/>
      <w:numFmt w:val="decimal"/>
      <w:lvlText w:val="%1."/>
      <w:lvlJc w:val="left"/>
      <w:pPr>
        <w:ind w:left="360" w:hanging="360"/>
      </w:pPr>
      <w:rPr>
        <w:rFonts w:hint="default"/>
        <w:b/>
        <w:bCs w:val="0"/>
      </w:rPr>
    </w:lvl>
    <w:lvl w:ilvl="1" w:tentative="0">
      <w:start w:val="1"/>
      <w:numFmt w:val="decimal"/>
      <w:lvlText w:val="%1.%2."/>
      <w:lvlJc w:val="left"/>
      <w:pPr>
        <w:ind w:left="936" w:hanging="360"/>
      </w:pPr>
      <w:rPr>
        <w:rFonts w:hint="default"/>
      </w:rPr>
    </w:lvl>
    <w:lvl w:ilvl="2" w:tentative="0">
      <w:start w:val="1"/>
      <w:numFmt w:val="lowerLetter"/>
      <w:lvlText w:val="%3."/>
      <w:lvlJc w:val="left"/>
      <w:pPr>
        <w:ind w:left="1872" w:hanging="720"/>
      </w:pPr>
      <w:rPr>
        <w:rFonts w:eastAsia="Times New Roman" w:asciiTheme="minorHAnsi" w:hAnsiTheme="minorHAnsi" w:cstheme="minorHAnsi"/>
      </w:rPr>
    </w:lvl>
    <w:lvl w:ilvl="3" w:tentative="0">
      <w:start w:val="1"/>
      <w:numFmt w:val="decimal"/>
      <w:lvlText w:val="%1.%2.%3.%4."/>
      <w:lvlJc w:val="left"/>
      <w:pPr>
        <w:ind w:left="2448" w:hanging="720"/>
      </w:pPr>
      <w:rPr>
        <w:rFonts w:hint="default"/>
      </w:rPr>
    </w:lvl>
    <w:lvl w:ilvl="4" w:tentative="0">
      <w:start w:val="1"/>
      <w:numFmt w:val="decimal"/>
      <w:lvlText w:val="%1.%2.%3.%4.%5."/>
      <w:lvlJc w:val="left"/>
      <w:pPr>
        <w:ind w:left="3384" w:hanging="1080"/>
      </w:pPr>
      <w:rPr>
        <w:rFonts w:hint="default"/>
      </w:rPr>
    </w:lvl>
    <w:lvl w:ilvl="5" w:tentative="0">
      <w:start w:val="1"/>
      <w:numFmt w:val="decimal"/>
      <w:lvlText w:val="%1.%2.%3.%4.%5.%6."/>
      <w:lvlJc w:val="left"/>
      <w:pPr>
        <w:ind w:left="3960" w:hanging="1080"/>
      </w:pPr>
      <w:rPr>
        <w:rFonts w:hint="default"/>
      </w:rPr>
    </w:lvl>
    <w:lvl w:ilvl="6" w:tentative="0">
      <w:start w:val="1"/>
      <w:numFmt w:val="decimal"/>
      <w:lvlText w:val="%1.%2.%3.%4.%5.%6.%7."/>
      <w:lvlJc w:val="left"/>
      <w:pPr>
        <w:ind w:left="4896" w:hanging="1440"/>
      </w:pPr>
      <w:rPr>
        <w:rFonts w:hint="default"/>
      </w:rPr>
    </w:lvl>
    <w:lvl w:ilvl="7" w:tentative="0">
      <w:start w:val="1"/>
      <w:numFmt w:val="decimal"/>
      <w:lvlText w:val="%1.%2.%3.%4.%5.%6.%7.%8."/>
      <w:lvlJc w:val="left"/>
      <w:pPr>
        <w:ind w:left="5472" w:hanging="1440"/>
      </w:pPr>
      <w:rPr>
        <w:rFonts w:hint="default"/>
      </w:rPr>
    </w:lvl>
    <w:lvl w:ilvl="8" w:tentative="0">
      <w:start w:val="1"/>
      <w:numFmt w:val="decimal"/>
      <w:lvlText w:val="%1.%2.%3.%4.%5.%6.%7.%8.%9."/>
      <w:lvlJc w:val="left"/>
      <w:pPr>
        <w:ind w:left="6408" w:hanging="1800"/>
      </w:pPr>
      <w:rPr>
        <w:rFonts w:hint="default"/>
      </w:rPr>
    </w:lvl>
  </w:abstractNum>
  <w:abstractNum w:abstractNumId="20">
    <w:nsid w:val="3319122A"/>
    <w:multiLevelType w:val="multilevel"/>
    <w:tmpl w:val="3319122A"/>
    <w:lvl w:ilvl="0" w:tentative="0">
      <w:start w:val="3"/>
      <w:numFmt w:val="decimal"/>
      <w:lvlText w:val="%1."/>
      <w:lvlJc w:val="left"/>
      <w:pPr>
        <w:ind w:left="660" w:hanging="660"/>
      </w:pPr>
      <w:rPr>
        <w:rFonts w:hint="default"/>
      </w:rPr>
    </w:lvl>
    <w:lvl w:ilvl="1" w:tentative="0">
      <w:start w:val="10"/>
      <w:numFmt w:val="decimal"/>
      <w:lvlText w:val="%1.%2."/>
      <w:lvlJc w:val="left"/>
      <w:pPr>
        <w:ind w:left="720" w:hanging="720"/>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440" w:hanging="144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800" w:hanging="1800"/>
      </w:pPr>
      <w:rPr>
        <w:rFonts w:hint="default"/>
      </w:rPr>
    </w:lvl>
    <w:lvl w:ilvl="8" w:tentative="0">
      <w:start w:val="1"/>
      <w:numFmt w:val="decimal"/>
      <w:lvlText w:val="%1.%2.%3.%4.%5.%6.%7.%8.%9."/>
      <w:lvlJc w:val="left"/>
      <w:pPr>
        <w:ind w:left="1800" w:hanging="1800"/>
      </w:pPr>
      <w:rPr>
        <w:rFonts w:hint="default"/>
      </w:rPr>
    </w:lvl>
  </w:abstractNum>
  <w:abstractNum w:abstractNumId="21">
    <w:nsid w:val="347776AC"/>
    <w:multiLevelType w:val="multilevel"/>
    <w:tmpl w:val="347776AC"/>
    <w:lvl w:ilvl="0" w:tentative="0">
      <w:start w:val="1"/>
      <w:numFmt w:val="lowerLetter"/>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2">
    <w:nsid w:val="37BD0705"/>
    <w:multiLevelType w:val="multilevel"/>
    <w:tmpl w:val="37BD0705"/>
    <w:lvl w:ilvl="0" w:tentative="0">
      <w:start w:val="2"/>
      <w:numFmt w:val="decimal"/>
      <w:lvlText w:val="%1."/>
      <w:lvlJc w:val="left"/>
      <w:pPr>
        <w:ind w:left="540" w:hanging="540"/>
      </w:pPr>
      <w:rPr>
        <w:rFonts w:hint="default"/>
      </w:rPr>
    </w:lvl>
    <w:lvl w:ilvl="1" w:tentative="0">
      <w:start w:val="7"/>
      <w:numFmt w:val="decimal"/>
      <w:lvlText w:val="%1.%2."/>
      <w:lvlJc w:val="left"/>
      <w:pPr>
        <w:ind w:left="720" w:hanging="720"/>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440" w:hanging="144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800" w:hanging="1800"/>
      </w:pPr>
      <w:rPr>
        <w:rFonts w:hint="default"/>
      </w:rPr>
    </w:lvl>
    <w:lvl w:ilvl="8" w:tentative="0">
      <w:start w:val="1"/>
      <w:numFmt w:val="decimal"/>
      <w:lvlText w:val="%1.%2.%3.%4.%5.%6.%7.%8.%9."/>
      <w:lvlJc w:val="left"/>
      <w:pPr>
        <w:ind w:left="1800" w:hanging="1800"/>
      </w:pPr>
      <w:rPr>
        <w:rFonts w:hint="default"/>
      </w:rPr>
    </w:lvl>
  </w:abstractNum>
  <w:abstractNum w:abstractNumId="23">
    <w:nsid w:val="3C8E4581"/>
    <w:multiLevelType w:val="multilevel"/>
    <w:tmpl w:val="3C8E4581"/>
    <w:lvl w:ilvl="0" w:tentative="0">
      <w:start w:val="1"/>
      <w:numFmt w:val="bullet"/>
      <w:lvlText w:val="●"/>
      <w:lvlJc w:val="left"/>
      <w:pPr>
        <w:ind w:left="720" w:hanging="360"/>
      </w:pPr>
      <w:rPr>
        <w:rFonts w:ascii="Noto Sans Symbols" w:hAnsi="Noto Sans Symbols" w:eastAsia="Noto Sans Symbols" w:cs="Noto Sans Symbols"/>
      </w:rPr>
    </w:lvl>
    <w:lvl w:ilvl="1" w:tentative="0">
      <w:start w:val="1"/>
      <w:numFmt w:val="bullet"/>
      <w:lvlText w:val="o"/>
      <w:lvlJc w:val="left"/>
      <w:pPr>
        <w:ind w:left="1440" w:hanging="360"/>
      </w:pPr>
      <w:rPr>
        <w:rFonts w:ascii="Courier New" w:hAnsi="Courier New" w:eastAsia="Courier New" w:cs="Courier New"/>
      </w:rPr>
    </w:lvl>
    <w:lvl w:ilvl="2" w:tentative="0">
      <w:start w:val="1"/>
      <w:numFmt w:val="bullet"/>
      <w:lvlText w:val="▪"/>
      <w:lvlJc w:val="left"/>
      <w:pPr>
        <w:ind w:left="2160" w:hanging="360"/>
      </w:pPr>
      <w:rPr>
        <w:rFonts w:ascii="Noto Sans Symbols" w:hAnsi="Noto Sans Symbols" w:eastAsia="Noto Sans Symbols" w:cs="Noto Sans Symbols"/>
      </w:rPr>
    </w:lvl>
    <w:lvl w:ilvl="3" w:tentative="0">
      <w:start w:val="1"/>
      <w:numFmt w:val="bullet"/>
      <w:lvlText w:val="●"/>
      <w:lvlJc w:val="left"/>
      <w:pPr>
        <w:ind w:left="2880" w:hanging="360"/>
      </w:pPr>
      <w:rPr>
        <w:rFonts w:ascii="Noto Sans Symbols" w:hAnsi="Noto Sans Symbols" w:eastAsia="Noto Sans Symbols" w:cs="Noto Sans Symbols"/>
      </w:rPr>
    </w:lvl>
    <w:lvl w:ilvl="4" w:tentative="0">
      <w:start w:val="1"/>
      <w:numFmt w:val="bullet"/>
      <w:lvlText w:val="o"/>
      <w:lvlJc w:val="left"/>
      <w:pPr>
        <w:ind w:left="3600" w:hanging="360"/>
      </w:pPr>
      <w:rPr>
        <w:rFonts w:ascii="Courier New" w:hAnsi="Courier New" w:eastAsia="Courier New" w:cs="Courier New"/>
      </w:rPr>
    </w:lvl>
    <w:lvl w:ilvl="5" w:tentative="0">
      <w:start w:val="1"/>
      <w:numFmt w:val="bullet"/>
      <w:lvlText w:val="▪"/>
      <w:lvlJc w:val="left"/>
      <w:pPr>
        <w:ind w:left="4320" w:hanging="360"/>
      </w:pPr>
      <w:rPr>
        <w:rFonts w:ascii="Noto Sans Symbols" w:hAnsi="Noto Sans Symbols" w:eastAsia="Noto Sans Symbols" w:cs="Noto Sans Symbols"/>
      </w:rPr>
    </w:lvl>
    <w:lvl w:ilvl="6" w:tentative="0">
      <w:start w:val="1"/>
      <w:numFmt w:val="bullet"/>
      <w:lvlText w:val="●"/>
      <w:lvlJc w:val="left"/>
      <w:pPr>
        <w:ind w:left="5040" w:hanging="360"/>
      </w:pPr>
      <w:rPr>
        <w:rFonts w:ascii="Noto Sans Symbols" w:hAnsi="Noto Sans Symbols" w:eastAsia="Noto Sans Symbols" w:cs="Noto Sans Symbols"/>
      </w:rPr>
    </w:lvl>
    <w:lvl w:ilvl="7" w:tentative="0">
      <w:start w:val="1"/>
      <w:numFmt w:val="bullet"/>
      <w:lvlText w:val="o"/>
      <w:lvlJc w:val="left"/>
      <w:pPr>
        <w:ind w:left="5760" w:hanging="360"/>
      </w:pPr>
      <w:rPr>
        <w:rFonts w:ascii="Courier New" w:hAnsi="Courier New" w:eastAsia="Courier New" w:cs="Courier New"/>
      </w:rPr>
    </w:lvl>
    <w:lvl w:ilvl="8" w:tentative="0">
      <w:start w:val="1"/>
      <w:numFmt w:val="bullet"/>
      <w:lvlText w:val="▪"/>
      <w:lvlJc w:val="left"/>
      <w:pPr>
        <w:ind w:left="6480" w:hanging="360"/>
      </w:pPr>
      <w:rPr>
        <w:rFonts w:ascii="Noto Sans Symbols" w:hAnsi="Noto Sans Symbols" w:eastAsia="Noto Sans Symbols" w:cs="Noto Sans Symbols"/>
      </w:rPr>
    </w:lvl>
  </w:abstractNum>
  <w:abstractNum w:abstractNumId="24">
    <w:nsid w:val="3CB53468"/>
    <w:multiLevelType w:val="multilevel"/>
    <w:tmpl w:val="3CB53468"/>
    <w:lvl w:ilvl="0" w:tentative="0">
      <w:start w:val="1"/>
      <w:numFmt w:val="lowerLetter"/>
      <w:lvlText w:val="%1."/>
      <w:lvlJc w:val="left"/>
      <w:pPr>
        <w:ind w:left="928" w:hanging="360"/>
      </w:pPr>
    </w:lvl>
    <w:lvl w:ilvl="1" w:tentative="0">
      <w:start w:val="1"/>
      <w:numFmt w:val="lowerLetter"/>
      <w:lvlText w:val="%2."/>
      <w:lvlJc w:val="left"/>
      <w:pPr>
        <w:ind w:left="1648" w:hanging="360"/>
      </w:pPr>
      <w:rPr>
        <w:b/>
      </w:rPr>
    </w:lvl>
    <w:lvl w:ilvl="2" w:tentative="0">
      <w:start w:val="1"/>
      <w:numFmt w:val="lowerLetter"/>
      <w:lvlText w:val="%3)"/>
      <w:lvlJc w:val="left"/>
      <w:pPr>
        <w:ind w:left="2548" w:hanging="360"/>
      </w:pPr>
      <w:rPr>
        <w:rFonts w:hint="default"/>
      </w:rPr>
    </w:lvl>
    <w:lvl w:ilvl="3" w:tentative="0">
      <w:start w:val="1"/>
      <w:numFmt w:val="decimal"/>
      <w:lvlText w:val="%4."/>
      <w:lvlJc w:val="left"/>
      <w:pPr>
        <w:ind w:left="3088" w:hanging="360"/>
      </w:pPr>
    </w:lvl>
    <w:lvl w:ilvl="4" w:tentative="0">
      <w:start w:val="1"/>
      <w:numFmt w:val="lowerLetter"/>
      <w:lvlText w:val="%5."/>
      <w:lvlJc w:val="left"/>
      <w:pPr>
        <w:ind w:left="3808" w:hanging="360"/>
      </w:pPr>
    </w:lvl>
    <w:lvl w:ilvl="5" w:tentative="0">
      <w:start w:val="1"/>
      <w:numFmt w:val="lowerRoman"/>
      <w:lvlText w:val="%6."/>
      <w:lvlJc w:val="right"/>
      <w:pPr>
        <w:ind w:left="4528" w:hanging="180"/>
      </w:pPr>
    </w:lvl>
    <w:lvl w:ilvl="6" w:tentative="0">
      <w:start w:val="1"/>
      <w:numFmt w:val="decimal"/>
      <w:lvlText w:val="%7."/>
      <w:lvlJc w:val="left"/>
      <w:pPr>
        <w:ind w:left="5248" w:hanging="360"/>
      </w:pPr>
    </w:lvl>
    <w:lvl w:ilvl="7" w:tentative="0">
      <w:start w:val="1"/>
      <w:numFmt w:val="lowerLetter"/>
      <w:lvlText w:val="%8."/>
      <w:lvlJc w:val="left"/>
      <w:pPr>
        <w:ind w:left="5968" w:hanging="360"/>
      </w:pPr>
    </w:lvl>
    <w:lvl w:ilvl="8" w:tentative="0">
      <w:start w:val="1"/>
      <w:numFmt w:val="lowerRoman"/>
      <w:lvlText w:val="%9."/>
      <w:lvlJc w:val="right"/>
      <w:pPr>
        <w:ind w:left="6688" w:hanging="180"/>
      </w:pPr>
    </w:lvl>
  </w:abstractNum>
  <w:abstractNum w:abstractNumId="25">
    <w:nsid w:val="46323546"/>
    <w:multiLevelType w:val="multilevel"/>
    <w:tmpl w:val="46323546"/>
    <w:lvl w:ilvl="0" w:tentative="0">
      <w:start w:val="3"/>
      <w:numFmt w:val="decimal"/>
      <w:lvlText w:val="%1."/>
      <w:lvlJc w:val="left"/>
      <w:pPr>
        <w:ind w:left="540" w:hanging="540"/>
      </w:pPr>
      <w:rPr>
        <w:rFonts w:hint="default"/>
      </w:rPr>
    </w:lvl>
    <w:lvl w:ilvl="1" w:tentative="0">
      <w:start w:val="5"/>
      <w:numFmt w:val="decimal"/>
      <w:lvlText w:val="%1.%2."/>
      <w:lvlJc w:val="left"/>
      <w:pPr>
        <w:ind w:left="720" w:hanging="720"/>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440" w:hanging="144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800" w:hanging="1800"/>
      </w:pPr>
      <w:rPr>
        <w:rFonts w:hint="default"/>
      </w:rPr>
    </w:lvl>
    <w:lvl w:ilvl="8" w:tentative="0">
      <w:start w:val="1"/>
      <w:numFmt w:val="decimal"/>
      <w:lvlText w:val="%1.%2.%3.%4.%5.%6.%7.%8.%9."/>
      <w:lvlJc w:val="left"/>
      <w:pPr>
        <w:ind w:left="1800" w:hanging="1800"/>
      </w:pPr>
      <w:rPr>
        <w:rFonts w:hint="default"/>
      </w:rPr>
    </w:lvl>
  </w:abstractNum>
  <w:abstractNum w:abstractNumId="26">
    <w:nsid w:val="474A2E79"/>
    <w:multiLevelType w:val="multilevel"/>
    <w:tmpl w:val="474A2E79"/>
    <w:lvl w:ilvl="0" w:tentative="0">
      <w:start w:val="0"/>
      <w:numFmt w:val="bullet"/>
      <w:lvlText w:val="•"/>
      <w:lvlJc w:val="left"/>
      <w:pPr>
        <w:ind w:left="720" w:hanging="360"/>
      </w:pPr>
      <w:rPr>
        <w:rFonts w:hint="default" w:ascii="Arial" w:hAnsi="Arial" w:eastAsia="Times New Roman" w:cs="Aria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7">
    <w:nsid w:val="499349BB"/>
    <w:multiLevelType w:val="multilevel"/>
    <w:tmpl w:val="499349BB"/>
    <w:lvl w:ilvl="0" w:tentative="0">
      <w:start w:val="2"/>
      <w:numFmt w:val="decimal"/>
      <w:lvlText w:val="%1."/>
      <w:lvlJc w:val="left"/>
      <w:pPr>
        <w:ind w:left="540" w:hanging="540"/>
      </w:pPr>
      <w:rPr>
        <w:rFonts w:hint="default"/>
      </w:rPr>
    </w:lvl>
    <w:lvl w:ilvl="1" w:tentative="0">
      <w:start w:val="1"/>
      <w:numFmt w:val="decimal"/>
      <w:lvlText w:val="%1.%2."/>
      <w:lvlJc w:val="left"/>
      <w:pPr>
        <w:ind w:left="720" w:hanging="720"/>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440" w:hanging="144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800" w:hanging="1800"/>
      </w:pPr>
      <w:rPr>
        <w:rFonts w:hint="default"/>
      </w:rPr>
    </w:lvl>
    <w:lvl w:ilvl="8" w:tentative="0">
      <w:start w:val="1"/>
      <w:numFmt w:val="decimal"/>
      <w:lvlText w:val="%1.%2.%3.%4.%5.%6.%7.%8.%9."/>
      <w:lvlJc w:val="left"/>
      <w:pPr>
        <w:ind w:left="1800" w:hanging="1800"/>
      </w:pPr>
      <w:rPr>
        <w:rFonts w:hint="default"/>
      </w:rPr>
    </w:lvl>
  </w:abstractNum>
  <w:abstractNum w:abstractNumId="28">
    <w:nsid w:val="4A3B7AC9"/>
    <w:multiLevelType w:val="multilevel"/>
    <w:tmpl w:val="4A3B7AC9"/>
    <w:lvl w:ilvl="0" w:tentative="0">
      <w:start w:val="1"/>
      <w:numFmt w:val="lowerLetter"/>
      <w:lvlText w:val="%1."/>
      <w:lvlJc w:val="left"/>
      <w:pPr>
        <w:ind w:left="786" w:hanging="360"/>
      </w:pPr>
    </w:lvl>
    <w:lvl w:ilvl="1" w:tentative="0">
      <w:start w:val="1"/>
      <w:numFmt w:val="lowerLetter"/>
      <w:lvlText w:val="%2."/>
      <w:lvlJc w:val="left"/>
      <w:pPr>
        <w:ind w:left="1506" w:hanging="360"/>
      </w:pPr>
    </w:lvl>
    <w:lvl w:ilvl="2" w:tentative="0">
      <w:start w:val="1"/>
      <w:numFmt w:val="lowerRoman"/>
      <w:lvlText w:val="%3."/>
      <w:lvlJc w:val="right"/>
      <w:pPr>
        <w:ind w:left="2226" w:hanging="180"/>
      </w:pPr>
    </w:lvl>
    <w:lvl w:ilvl="3" w:tentative="0">
      <w:start w:val="1"/>
      <w:numFmt w:val="decimal"/>
      <w:lvlText w:val="%4."/>
      <w:lvlJc w:val="left"/>
      <w:pPr>
        <w:ind w:left="2946" w:hanging="360"/>
      </w:pPr>
    </w:lvl>
    <w:lvl w:ilvl="4" w:tentative="0">
      <w:start w:val="1"/>
      <w:numFmt w:val="lowerLetter"/>
      <w:lvlText w:val="%5."/>
      <w:lvlJc w:val="left"/>
      <w:pPr>
        <w:ind w:left="3666" w:hanging="360"/>
      </w:pPr>
    </w:lvl>
    <w:lvl w:ilvl="5" w:tentative="0">
      <w:start w:val="1"/>
      <w:numFmt w:val="lowerRoman"/>
      <w:lvlText w:val="%6."/>
      <w:lvlJc w:val="right"/>
      <w:pPr>
        <w:ind w:left="4386" w:hanging="180"/>
      </w:pPr>
    </w:lvl>
    <w:lvl w:ilvl="6" w:tentative="0">
      <w:start w:val="1"/>
      <w:numFmt w:val="decimal"/>
      <w:lvlText w:val="%7."/>
      <w:lvlJc w:val="left"/>
      <w:pPr>
        <w:ind w:left="5106" w:hanging="360"/>
      </w:pPr>
    </w:lvl>
    <w:lvl w:ilvl="7" w:tentative="0">
      <w:start w:val="1"/>
      <w:numFmt w:val="lowerLetter"/>
      <w:lvlText w:val="%8."/>
      <w:lvlJc w:val="left"/>
      <w:pPr>
        <w:ind w:left="5826" w:hanging="360"/>
      </w:pPr>
    </w:lvl>
    <w:lvl w:ilvl="8" w:tentative="0">
      <w:start w:val="1"/>
      <w:numFmt w:val="lowerRoman"/>
      <w:lvlText w:val="%9."/>
      <w:lvlJc w:val="right"/>
      <w:pPr>
        <w:ind w:left="6546" w:hanging="180"/>
      </w:pPr>
    </w:lvl>
  </w:abstractNum>
  <w:abstractNum w:abstractNumId="29">
    <w:nsid w:val="4A543A80"/>
    <w:multiLevelType w:val="multilevel"/>
    <w:tmpl w:val="4A543A80"/>
    <w:lvl w:ilvl="0" w:tentative="0">
      <w:start w:val="1"/>
      <w:numFmt w:val="low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0">
    <w:nsid w:val="4BF94832"/>
    <w:multiLevelType w:val="multilevel"/>
    <w:tmpl w:val="4BF94832"/>
    <w:lvl w:ilvl="0" w:tentative="0">
      <w:start w:val="1"/>
      <w:numFmt w:val="lowerLetter"/>
      <w:pStyle w:val="29"/>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1">
    <w:nsid w:val="4D8D5A6E"/>
    <w:multiLevelType w:val="multilevel"/>
    <w:tmpl w:val="4D8D5A6E"/>
    <w:lvl w:ilvl="0" w:tentative="0">
      <w:start w:val="1"/>
      <w:numFmt w:val="low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2">
    <w:nsid w:val="4EA7263D"/>
    <w:multiLevelType w:val="multilevel"/>
    <w:tmpl w:val="4EA7263D"/>
    <w:lvl w:ilvl="0" w:tentative="0">
      <w:start w:val="3"/>
      <w:numFmt w:val="decimal"/>
      <w:lvlText w:val="%1."/>
      <w:lvlJc w:val="left"/>
      <w:pPr>
        <w:ind w:left="540" w:hanging="540"/>
      </w:pPr>
      <w:rPr>
        <w:rFonts w:hint="default"/>
      </w:rPr>
    </w:lvl>
    <w:lvl w:ilvl="1" w:tentative="0">
      <w:start w:val="7"/>
      <w:numFmt w:val="decimal"/>
      <w:lvlText w:val="%1.%2."/>
      <w:lvlJc w:val="left"/>
      <w:pPr>
        <w:ind w:left="720" w:hanging="720"/>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440" w:hanging="144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800" w:hanging="1800"/>
      </w:pPr>
      <w:rPr>
        <w:rFonts w:hint="default"/>
      </w:rPr>
    </w:lvl>
    <w:lvl w:ilvl="8" w:tentative="0">
      <w:start w:val="1"/>
      <w:numFmt w:val="decimal"/>
      <w:lvlText w:val="%1.%2.%3.%4.%5.%6.%7.%8.%9."/>
      <w:lvlJc w:val="left"/>
      <w:pPr>
        <w:ind w:left="1800" w:hanging="1800"/>
      </w:pPr>
      <w:rPr>
        <w:rFonts w:hint="default"/>
      </w:rPr>
    </w:lvl>
  </w:abstractNum>
  <w:abstractNum w:abstractNumId="33">
    <w:nsid w:val="53425FE4"/>
    <w:multiLevelType w:val="multilevel"/>
    <w:tmpl w:val="53425FE4"/>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4">
    <w:nsid w:val="542E3AF2"/>
    <w:multiLevelType w:val="multilevel"/>
    <w:tmpl w:val="542E3AF2"/>
    <w:lvl w:ilvl="0" w:tentative="0">
      <w:start w:val="0"/>
      <w:numFmt w:val="bullet"/>
      <w:lvlText w:val="•"/>
      <w:lvlJc w:val="left"/>
      <w:pPr>
        <w:ind w:left="720" w:hanging="360"/>
      </w:pPr>
      <w:rPr>
        <w:rFonts w:hint="default" w:ascii="Arial" w:hAnsi="Arial" w:eastAsia="Times New Roman" w:cs="Aria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5">
    <w:nsid w:val="543F2EBB"/>
    <w:multiLevelType w:val="multilevel"/>
    <w:tmpl w:val="543F2EB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6">
    <w:nsid w:val="54C71E14"/>
    <w:multiLevelType w:val="multilevel"/>
    <w:tmpl w:val="54C71E14"/>
    <w:lvl w:ilvl="0" w:tentative="0">
      <w:start w:val="1"/>
      <w:numFmt w:val="bullet"/>
      <w:lvlText w:val=""/>
      <w:lvlJc w:val="left"/>
      <w:pPr>
        <w:ind w:left="1206" w:hanging="360"/>
      </w:pPr>
      <w:rPr>
        <w:rFonts w:hint="default" w:ascii="Symbol" w:hAnsi="Symbol"/>
      </w:rPr>
    </w:lvl>
    <w:lvl w:ilvl="1" w:tentative="0">
      <w:start w:val="1"/>
      <w:numFmt w:val="bullet"/>
      <w:lvlText w:val="o"/>
      <w:lvlJc w:val="left"/>
      <w:pPr>
        <w:ind w:left="1926" w:hanging="360"/>
      </w:pPr>
      <w:rPr>
        <w:rFonts w:hint="default" w:ascii="Courier New" w:hAnsi="Courier New" w:cs="Courier New"/>
      </w:rPr>
    </w:lvl>
    <w:lvl w:ilvl="2" w:tentative="0">
      <w:start w:val="1"/>
      <w:numFmt w:val="bullet"/>
      <w:lvlText w:val=""/>
      <w:lvlJc w:val="left"/>
      <w:pPr>
        <w:ind w:left="2646" w:hanging="360"/>
      </w:pPr>
      <w:rPr>
        <w:rFonts w:hint="default" w:ascii="Wingdings" w:hAnsi="Wingdings"/>
      </w:rPr>
    </w:lvl>
    <w:lvl w:ilvl="3" w:tentative="0">
      <w:start w:val="1"/>
      <w:numFmt w:val="bullet"/>
      <w:lvlText w:val=""/>
      <w:lvlJc w:val="left"/>
      <w:pPr>
        <w:ind w:left="3366" w:hanging="360"/>
      </w:pPr>
      <w:rPr>
        <w:rFonts w:hint="default" w:ascii="Symbol" w:hAnsi="Symbol"/>
      </w:rPr>
    </w:lvl>
    <w:lvl w:ilvl="4" w:tentative="0">
      <w:start w:val="1"/>
      <w:numFmt w:val="bullet"/>
      <w:lvlText w:val="o"/>
      <w:lvlJc w:val="left"/>
      <w:pPr>
        <w:ind w:left="4086" w:hanging="360"/>
      </w:pPr>
      <w:rPr>
        <w:rFonts w:hint="default" w:ascii="Courier New" w:hAnsi="Courier New" w:cs="Courier New"/>
      </w:rPr>
    </w:lvl>
    <w:lvl w:ilvl="5" w:tentative="0">
      <w:start w:val="1"/>
      <w:numFmt w:val="bullet"/>
      <w:lvlText w:val=""/>
      <w:lvlJc w:val="left"/>
      <w:pPr>
        <w:ind w:left="4806" w:hanging="360"/>
      </w:pPr>
      <w:rPr>
        <w:rFonts w:hint="default" w:ascii="Wingdings" w:hAnsi="Wingdings"/>
      </w:rPr>
    </w:lvl>
    <w:lvl w:ilvl="6" w:tentative="0">
      <w:start w:val="1"/>
      <w:numFmt w:val="bullet"/>
      <w:lvlText w:val=""/>
      <w:lvlJc w:val="left"/>
      <w:pPr>
        <w:ind w:left="5526" w:hanging="360"/>
      </w:pPr>
      <w:rPr>
        <w:rFonts w:hint="default" w:ascii="Symbol" w:hAnsi="Symbol"/>
      </w:rPr>
    </w:lvl>
    <w:lvl w:ilvl="7" w:tentative="0">
      <w:start w:val="1"/>
      <w:numFmt w:val="bullet"/>
      <w:lvlText w:val="o"/>
      <w:lvlJc w:val="left"/>
      <w:pPr>
        <w:ind w:left="6246" w:hanging="360"/>
      </w:pPr>
      <w:rPr>
        <w:rFonts w:hint="default" w:ascii="Courier New" w:hAnsi="Courier New" w:cs="Courier New"/>
      </w:rPr>
    </w:lvl>
    <w:lvl w:ilvl="8" w:tentative="0">
      <w:start w:val="1"/>
      <w:numFmt w:val="bullet"/>
      <w:lvlText w:val=""/>
      <w:lvlJc w:val="left"/>
      <w:pPr>
        <w:ind w:left="6966" w:hanging="360"/>
      </w:pPr>
      <w:rPr>
        <w:rFonts w:hint="default" w:ascii="Wingdings" w:hAnsi="Wingdings"/>
      </w:rPr>
    </w:lvl>
  </w:abstractNum>
  <w:abstractNum w:abstractNumId="37">
    <w:nsid w:val="574A72C6"/>
    <w:multiLevelType w:val="multilevel"/>
    <w:tmpl w:val="574A72C6"/>
    <w:lvl w:ilvl="0" w:tentative="0">
      <w:start w:val="1"/>
      <w:numFmt w:val="bullet"/>
      <w:lvlText w:val="-"/>
      <w:lvlJc w:val="left"/>
      <w:pPr>
        <w:ind w:left="720" w:hanging="360"/>
      </w:pPr>
      <w:rPr>
        <w:rFonts w:hint="default" w:ascii="Calibri" w:hAnsi="Calibri" w:eastAsia="Times New Roman" w:cstheme="minorHAnsi"/>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8">
    <w:nsid w:val="585342B6"/>
    <w:multiLevelType w:val="multilevel"/>
    <w:tmpl w:val="585342B6"/>
    <w:lvl w:ilvl="0" w:tentative="0">
      <w:start w:val="3"/>
      <w:numFmt w:val="decimal"/>
      <w:lvlText w:val="%1."/>
      <w:lvlJc w:val="left"/>
      <w:pPr>
        <w:ind w:left="540" w:hanging="540"/>
      </w:pPr>
      <w:rPr>
        <w:rFonts w:hint="default"/>
      </w:rPr>
    </w:lvl>
    <w:lvl w:ilvl="1" w:tentative="0">
      <w:start w:val="9"/>
      <w:numFmt w:val="decimal"/>
      <w:lvlText w:val="%1.%2."/>
      <w:lvlJc w:val="left"/>
      <w:pPr>
        <w:ind w:left="720" w:hanging="720"/>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440" w:hanging="144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800" w:hanging="1800"/>
      </w:pPr>
      <w:rPr>
        <w:rFonts w:hint="default"/>
      </w:rPr>
    </w:lvl>
    <w:lvl w:ilvl="8" w:tentative="0">
      <w:start w:val="1"/>
      <w:numFmt w:val="decimal"/>
      <w:lvlText w:val="%1.%2.%3.%4.%5.%6.%7.%8.%9."/>
      <w:lvlJc w:val="left"/>
      <w:pPr>
        <w:ind w:left="1800" w:hanging="1800"/>
      </w:pPr>
      <w:rPr>
        <w:rFonts w:hint="default"/>
      </w:rPr>
    </w:lvl>
  </w:abstractNum>
  <w:abstractNum w:abstractNumId="39">
    <w:nsid w:val="5AD57423"/>
    <w:multiLevelType w:val="multilevel"/>
    <w:tmpl w:val="5AD5742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0">
    <w:nsid w:val="5E3F7044"/>
    <w:multiLevelType w:val="multilevel"/>
    <w:tmpl w:val="5E3F7044"/>
    <w:lvl w:ilvl="0" w:tentative="0">
      <w:start w:val="1"/>
      <w:numFmt w:val="lowerRoman"/>
      <w:lvlText w:val="%1."/>
      <w:lvlJc w:val="right"/>
      <w:pPr>
        <w:ind w:left="1440" w:hanging="360"/>
      </w:pPr>
      <w:rPr>
        <w:rFonts w:hint="default"/>
      </w:rPr>
    </w:lvl>
    <w:lvl w:ilvl="1" w:tentative="0">
      <w:start w:val="1"/>
      <w:numFmt w:val="bullet"/>
      <w:lvlText w:val="o"/>
      <w:lvlJc w:val="left"/>
      <w:pPr>
        <w:ind w:left="2160" w:hanging="360"/>
      </w:pPr>
      <w:rPr>
        <w:rFonts w:hint="default" w:ascii="Courier New" w:hAnsi="Courier New" w:cs="Courier New"/>
      </w:rPr>
    </w:lvl>
    <w:lvl w:ilvl="2" w:tentative="0">
      <w:start w:val="1"/>
      <w:numFmt w:val="bullet"/>
      <w:lvlText w:val=""/>
      <w:lvlJc w:val="left"/>
      <w:pPr>
        <w:ind w:left="2880" w:hanging="360"/>
      </w:pPr>
      <w:rPr>
        <w:rFonts w:hint="default" w:ascii="Wingdings" w:hAnsi="Wingdings"/>
      </w:rPr>
    </w:lvl>
    <w:lvl w:ilvl="3" w:tentative="0">
      <w:start w:val="1"/>
      <w:numFmt w:val="bullet"/>
      <w:lvlText w:val=""/>
      <w:lvlJc w:val="left"/>
      <w:pPr>
        <w:ind w:left="3600" w:hanging="360"/>
      </w:pPr>
      <w:rPr>
        <w:rFonts w:hint="default" w:ascii="Symbol" w:hAnsi="Symbol"/>
      </w:rPr>
    </w:lvl>
    <w:lvl w:ilvl="4" w:tentative="0">
      <w:start w:val="1"/>
      <w:numFmt w:val="bullet"/>
      <w:lvlText w:val="o"/>
      <w:lvlJc w:val="left"/>
      <w:pPr>
        <w:ind w:left="4320" w:hanging="360"/>
      </w:pPr>
      <w:rPr>
        <w:rFonts w:hint="default" w:ascii="Courier New" w:hAnsi="Courier New" w:cs="Courier New"/>
      </w:rPr>
    </w:lvl>
    <w:lvl w:ilvl="5" w:tentative="0">
      <w:start w:val="1"/>
      <w:numFmt w:val="bullet"/>
      <w:lvlText w:val=""/>
      <w:lvlJc w:val="left"/>
      <w:pPr>
        <w:ind w:left="5040" w:hanging="360"/>
      </w:pPr>
      <w:rPr>
        <w:rFonts w:hint="default" w:ascii="Wingdings" w:hAnsi="Wingdings"/>
      </w:rPr>
    </w:lvl>
    <w:lvl w:ilvl="6" w:tentative="0">
      <w:start w:val="1"/>
      <w:numFmt w:val="bullet"/>
      <w:lvlText w:val=""/>
      <w:lvlJc w:val="left"/>
      <w:pPr>
        <w:ind w:left="5760" w:hanging="360"/>
      </w:pPr>
      <w:rPr>
        <w:rFonts w:hint="default" w:ascii="Symbol" w:hAnsi="Symbol"/>
      </w:rPr>
    </w:lvl>
    <w:lvl w:ilvl="7" w:tentative="0">
      <w:start w:val="1"/>
      <w:numFmt w:val="bullet"/>
      <w:lvlText w:val="o"/>
      <w:lvlJc w:val="left"/>
      <w:pPr>
        <w:ind w:left="6480" w:hanging="360"/>
      </w:pPr>
      <w:rPr>
        <w:rFonts w:hint="default" w:ascii="Courier New" w:hAnsi="Courier New" w:cs="Courier New"/>
      </w:rPr>
    </w:lvl>
    <w:lvl w:ilvl="8" w:tentative="0">
      <w:start w:val="1"/>
      <w:numFmt w:val="bullet"/>
      <w:lvlText w:val=""/>
      <w:lvlJc w:val="left"/>
      <w:pPr>
        <w:ind w:left="7200" w:hanging="360"/>
      </w:pPr>
      <w:rPr>
        <w:rFonts w:hint="default" w:ascii="Wingdings" w:hAnsi="Wingdings"/>
      </w:rPr>
    </w:lvl>
  </w:abstractNum>
  <w:abstractNum w:abstractNumId="41">
    <w:nsid w:val="60D170C9"/>
    <w:multiLevelType w:val="multilevel"/>
    <w:tmpl w:val="60D170C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2">
    <w:nsid w:val="63FD2E6C"/>
    <w:multiLevelType w:val="multilevel"/>
    <w:tmpl w:val="63FD2E6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3">
    <w:nsid w:val="64DE67FD"/>
    <w:multiLevelType w:val="multilevel"/>
    <w:tmpl w:val="64DE67FD"/>
    <w:lvl w:ilvl="0" w:tentative="0">
      <w:start w:val="1"/>
      <w:numFmt w:val="decimal"/>
      <w:pStyle w:val="2"/>
      <w:lvlText w:val="%1"/>
      <w:lvlJc w:val="left"/>
      <w:pPr>
        <w:ind w:left="574" w:hanging="432"/>
      </w:pPr>
    </w:lvl>
    <w:lvl w:ilvl="1" w:tentative="0">
      <w:start w:val="1"/>
      <w:numFmt w:val="decimal"/>
      <w:pStyle w:val="3"/>
      <w:lvlText w:val="%1.%2"/>
      <w:lvlJc w:val="left"/>
      <w:pPr>
        <w:ind w:left="576" w:hanging="576"/>
      </w:pPr>
    </w:lvl>
    <w:lvl w:ilvl="2" w:tentative="0">
      <w:start w:val="1"/>
      <w:numFmt w:val="decimal"/>
      <w:pStyle w:val="4"/>
      <w:lvlText w:val="%1.%2.%3"/>
      <w:lvlJc w:val="left"/>
      <w:pPr>
        <w:ind w:left="720" w:hanging="720"/>
      </w:pPr>
    </w:lvl>
    <w:lvl w:ilvl="3" w:tentative="0">
      <w:start w:val="1"/>
      <w:numFmt w:val="decimal"/>
      <w:pStyle w:val="5"/>
      <w:lvlText w:val="%1.%2.%3.%4"/>
      <w:lvlJc w:val="left"/>
      <w:pPr>
        <w:ind w:left="864" w:hanging="864"/>
      </w:pPr>
      <w:rPr>
        <w:b/>
        <w:i w:val="0"/>
      </w:rPr>
    </w:lvl>
    <w:lvl w:ilvl="4" w:tentative="0">
      <w:start w:val="1"/>
      <w:numFmt w:val="decimal"/>
      <w:pStyle w:val="6"/>
      <w:lvlText w:val="%1.%2.%3.%4.%5"/>
      <w:lvlJc w:val="left"/>
      <w:pPr>
        <w:ind w:left="1008" w:hanging="1008"/>
      </w:pPr>
    </w:lvl>
    <w:lvl w:ilvl="5" w:tentative="0">
      <w:start w:val="1"/>
      <w:numFmt w:val="decimal"/>
      <w:pStyle w:val="7"/>
      <w:lvlText w:val="%1.%2.%3.%4.%5.%6"/>
      <w:lvlJc w:val="left"/>
      <w:pPr>
        <w:ind w:left="1152" w:hanging="1152"/>
      </w:pPr>
    </w:lvl>
    <w:lvl w:ilvl="6" w:tentative="0">
      <w:start w:val="1"/>
      <w:numFmt w:val="decimal"/>
      <w:pStyle w:val="8"/>
      <w:lvlText w:val="%1.%2.%3.%4.%5.%6.%7"/>
      <w:lvlJc w:val="left"/>
      <w:pPr>
        <w:ind w:left="1296" w:hanging="1296"/>
      </w:pPr>
    </w:lvl>
    <w:lvl w:ilvl="7" w:tentative="0">
      <w:start w:val="1"/>
      <w:numFmt w:val="decimal"/>
      <w:pStyle w:val="9"/>
      <w:lvlText w:val="%1.%2.%3.%4.%5.%6.%7.%8"/>
      <w:lvlJc w:val="left"/>
      <w:pPr>
        <w:ind w:left="1440" w:hanging="1440"/>
      </w:pPr>
    </w:lvl>
    <w:lvl w:ilvl="8" w:tentative="0">
      <w:start w:val="1"/>
      <w:numFmt w:val="decimal"/>
      <w:pStyle w:val="10"/>
      <w:lvlText w:val="%1.%2.%3.%4.%5.%6.%7.%8.%9"/>
      <w:lvlJc w:val="left"/>
      <w:pPr>
        <w:ind w:left="1584" w:hanging="1584"/>
      </w:pPr>
    </w:lvl>
  </w:abstractNum>
  <w:abstractNum w:abstractNumId="44">
    <w:nsid w:val="68E016E9"/>
    <w:multiLevelType w:val="multilevel"/>
    <w:tmpl w:val="68E016E9"/>
    <w:lvl w:ilvl="0" w:tentative="0">
      <w:start w:val="1"/>
      <w:numFmt w:val="bullet"/>
      <w:lvlText w:val=""/>
      <w:lvlJc w:val="left"/>
      <w:pPr>
        <w:ind w:left="72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5">
    <w:nsid w:val="690660FD"/>
    <w:multiLevelType w:val="multilevel"/>
    <w:tmpl w:val="690660FD"/>
    <w:lvl w:ilvl="0" w:tentative="0">
      <w:start w:val="1"/>
      <w:numFmt w:val="bullet"/>
      <w:lvlText w:val="-"/>
      <w:lvlJc w:val="left"/>
      <w:pPr>
        <w:ind w:left="1080" w:hanging="360"/>
      </w:pPr>
      <w:rPr>
        <w:rFonts w:hint="default" w:ascii="Arial" w:hAnsi="Arial" w:cs="Arial" w:eastAsiaTheme="minorHAnsi"/>
      </w:rPr>
    </w:lvl>
    <w:lvl w:ilvl="1" w:tentative="0">
      <w:start w:val="1"/>
      <w:numFmt w:val="bullet"/>
      <w:lvlText w:val="o"/>
      <w:lvlJc w:val="left"/>
      <w:pPr>
        <w:ind w:left="1800" w:hanging="360"/>
      </w:pPr>
      <w:rPr>
        <w:rFonts w:hint="default" w:ascii="Courier New" w:hAnsi="Courier New" w:cs="Courier New"/>
      </w:rPr>
    </w:lvl>
    <w:lvl w:ilvl="2" w:tentative="0">
      <w:start w:val="1"/>
      <w:numFmt w:val="bullet"/>
      <w:lvlText w:val=""/>
      <w:lvlJc w:val="left"/>
      <w:pPr>
        <w:ind w:left="2520" w:hanging="360"/>
      </w:pPr>
      <w:rPr>
        <w:rFonts w:hint="default" w:ascii="Wingdings" w:hAnsi="Wingdings"/>
      </w:rPr>
    </w:lvl>
    <w:lvl w:ilvl="3" w:tentative="0">
      <w:start w:val="1"/>
      <w:numFmt w:val="bullet"/>
      <w:lvlText w:val=""/>
      <w:lvlJc w:val="left"/>
      <w:pPr>
        <w:ind w:left="3240" w:hanging="360"/>
      </w:pPr>
      <w:rPr>
        <w:rFonts w:hint="default" w:ascii="Symbol" w:hAnsi="Symbol"/>
      </w:rPr>
    </w:lvl>
    <w:lvl w:ilvl="4" w:tentative="0">
      <w:start w:val="1"/>
      <w:numFmt w:val="bullet"/>
      <w:lvlText w:val="o"/>
      <w:lvlJc w:val="left"/>
      <w:pPr>
        <w:ind w:left="3960" w:hanging="360"/>
      </w:pPr>
      <w:rPr>
        <w:rFonts w:hint="default" w:ascii="Courier New" w:hAnsi="Courier New" w:cs="Courier New"/>
      </w:rPr>
    </w:lvl>
    <w:lvl w:ilvl="5" w:tentative="0">
      <w:start w:val="1"/>
      <w:numFmt w:val="bullet"/>
      <w:lvlText w:val=""/>
      <w:lvlJc w:val="left"/>
      <w:pPr>
        <w:ind w:left="4680" w:hanging="360"/>
      </w:pPr>
      <w:rPr>
        <w:rFonts w:hint="default" w:ascii="Wingdings" w:hAnsi="Wingdings"/>
      </w:rPr>
    </w:lvl>
    <w:lvl w:ilvl="6" w:tentative="0">
      <w:start w:val="1"/>
      <w:numFmt w:val="bullet"/>
      <w:lvlText w:val=""/>
      <w:lvlJc w:val="left"/>
      <w:pPr>
        <w:ind w:left="5400" w:hanging="360"/>
      </w:pPr>
      <w:rPr>
        <w:rFonts w:hint="default" w:ascii="Symbol" w:hAnsi="Symbol"/>
      </w:rPr>
    </w:lvl>
    <w:lvl w:ilvl="7" w:tentative="0">
      <w:start w:val="1"/>
      <w:numFmt w:val="bullet"/>
      <w:lvlText w:val="o"/>
      <w:lvlJc w:val="left"/>
      <w:pPr>
        <w:ind w:left="6120" w:hanging="360"/>
      </w:pPr>
      <w:rPr>
        <w:rFonts w:hint="default" w:ascii="Courier New" w:hAnsi="Courier New" w:cs="Courier New"/>
      </w:rPr>
    </w:lvl>
    <w:lvl w:ilvl="8" w:tentative="0">
      <w:start w:val="1"/>
      <w:numFmt w:val="bullet"/>
      <w:lvlText w:val=""/>
      <w:lvlJc w:val="left"/>
      <w:pPr>
        <w:ind w:left="6840" w:hanging="360"/>
      </w:pPr>
      <w:rPr>
        <w:rFonts w:hint="default" w:ascii="Wingdings" w:hAnsi="Wingdings"/>
      </w:rPr>
    </w:lvl>
  </w:abstractNum>
  <w:abstractNum w:abstractNumId="46">
    <w:nsid w:val="697B6D8E"/>
    <w:multiLevelType w:val="multilevel"/>
    <w:tmpl w:val="697B6D8E"/>
    <w:lvl w:ilvl="0" w:tentative="0">
      <w:start w:val="2"/>
      <w:numFmt w:val="decimal"/>
      <w:lvlText w:val="%1."/>
      <w:lvlJc w:val="left"/>
      <w:pPr>
        <w:ind w:left="540" w:hanging="540"/>
      </w:pPr>
      <w:rPr>
        <w:rFonts w:hint="default"/>
      </w:rPr>
    </w:lvl>
    <w:lvl w:ilvl="1" w:tentative="0">
      <w:start w:val="8"/>
      <w:numFmt w:val="decimal"/>
      <w:lvlText w:val="%1.%2."/>
      <w:lvlJc w:val="left"/>
      <w:pPr>
        <w:ind w:left="720" w:hanging="720"/>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440" w:hanging="144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800" w:hanging="1800"/>
      </w:pPr>
      <w:rPr>
        <w:rFonts w:hint="default"/>
      </w:rPr>
    </w:lvl>
    <w:lvl w:ilvl="8" w:tentative="0">
      <w:start w:val="1"/>
      <w:numFmt w:val="decimal"/>
      <w:lvlText w:val="%1.%2.%3.%4.%5.%6.%7.%8.%9."/>
      <w:lvlJc w:val="left"/>
      <w:pPr>
        <w:ind w:left="1800" w:hanging="1800"/>
      </w:pPr>
      <w:rPr>
        <w:rFonts w:hint="default"/>
      </w:rPr>
    </w:lvl>
  </w:abstractNum>
  <w:abstractNum w:abstractNumId="47">
    <w:nsid w:val="6A29651E"/>
    <w:multiLevelType w:val="multilevel"/>
    <w:tmpl w:val="6A29651E"/>
    <w:lvl w:ilvl="0" w:tentative="0">
      <w:start w:val="2"/>
      <w:numFmt w:val="decimal"/>
      <w:lvlText w:val="%1."/>
      <w:lvlJc w:val="left"/>
      <w:pPr>
        <w:ind w:left="540" w:hanging="540"/>
      </w:pPr>
      <w:rPr>
        <w:rFonts w:hint="default"/>
      </w:rPr>
    </w:lvl>
    <w:lvl w:ilvl="1" w:tentative="0">
      <w:start w:val="4"/>
      <w:numFmt w:val="decimal"/>
      <w:lvlText w:val="%1.%2."/>
      <w:lvlJc w:val="left"/>
      <w:pPr>
        <w:ind w:left="720" w:hanging="720"/>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440" w:hanging="144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800" w:hanging="1800"/>
      </w:pPr>
      <w:rPr>
        <w:rFonts w:hint="default"/>
      </w:rPr>
    </w:lvl>
    <w:lvl w:ilvl="8" w:tentative="0">
      <w:start w:val="1"/>
      <w:numFmt w:val="decimal"/>
      <w:lvlText w:val="%1.%2.%3.%4.%5.%6.%7.%8.%9."/>
      <w:lvlJc w:val="left"/>
      <w:pPr>
        <w:ind w:left="1800" w:hanging="1800"/>
      </w:pPr>
      <w:rPr>
        <w:rFonts w:hint="default"/>
      </w:rPr>
    </w:lvl>
  </w:abstractNum>
  <w:abstractNum w:abstractNumId="48">
    <w:nsid w:val="6B765500"/>
    <w:multiLevelType w:val="multilevel"/>
    <w:tmpl w:val="6B765500"/>
    <w:lvl w:ilvl="0" w:tentative="0">
      <w:start w:val="1"/>
      <w:numFmt w:val="lowerLetter"/>
      <w:lvlText w:val="%1."/>
      <w:lvlJc w:val="left"/>
      <w:pPr>
        <w:ind w:left="360" w:hanging="360"/>
      </w:pPr>
    </w:lvl>
    <w:lvl w:ilvl="1" w:tentative="0">
      <w:start w:val="1"/>
      <w:numFmt w:val="decimal"/>
      <w:lvlText w:val="%1.%2."/>
      <w:lvlJc w:val="left"/>
      <w:pPr>
        <w:ind w:left="792" w:hanging="432"/>
      </w:pPr>
    </w:lvl>
    <w:lvl w:ilvl="2" w:tentative="0">
      <w:start w:val="1"/>
      <w:numFmt w:val="decimal"/>
      <w:lvlText w:val="%1.%2.%3."/>
      <w:lvlJc w:val="left"/>
      <w:pPr>
        <w:ind w:left="1224" w:hanging="504"/>
      </w:pPr>
    </w:lvl>
    <w:lvl w:ilvl="3" w:tentative="0">
      <w:start w:val="1"/>
      <w:numFmt w:val="lowerLetter"/>
      <w:lvlText w:val="%4."/>
      <w:lvlJc w:val="left"/>
      <w:pPr>
        <w:ind w:left="1728" w:hanging="648"/>
      </w:pPr>
    </w:lvl>
    <w:lvl w:ilvl="4" w:tentative="0">
      <w:start w:val="1"/>
      <w:numFmt w:val="decimal"/>
      <w:lvlText w:val="%1.%2.%3.%4.%5."/>
      <w:lvlJc w:val="left"/>
      <w:pPr>
        <w:ind w:left="2232" w:hanging="792"/>
      </w:pPr>
    </w:lvl>
    <w:lvl w:ilvl="5" w:tentative="0">
      <w:start w:val="1"/>
      <w:numFmt w:val="decimal"/>
      <w:lvlText w:val="%1.%2.%3.%4.%5.%6."/>
      <w:lvlJc w:val="left"/>
      <w:pPr>
        <w:ind w:left="2736" w:hanging="936"/>
      </w:pPr>
    </w:lvl>
    <w:lvl w:ilvl="6" w:tentative="0">
      <w:start w:val="1"/>
      <w:numFmt w:val="decimal"/>
      <w:lvlText w:val="%1.%2.%3.%4.%5.%6.%7."/>
      <w:lvlJc w:val="left"/>
      <w:pPr>
        <w:ind w:left="3240" w:hanging="1080"/>
      </w:pPr>
    </w:lvl>
    <w:lvl w:ilvl="7" w:tentative="0">
      <w:start w:val="1"/>
      <w:numFmt w:val="decimal"/>
      <w:lvlText w:val="%1.%2.%3.%4.%5.%6.%7.%8."/>
      <w:lvlJc w:val="left"/>
      <w:pPr>
        <w:ind w:left="3744" w:hanging="1224"/>
      </w:pPr>
    </w:lvl>
    <w:lvl w:ilvl="8" w:tentative="0">
      <w:start w:val="1"/>
      <w:numFmt w:val="decimal"/>
      <w:lvlText w:val="%1.%2.%3.%4.%5.%6.%7.%8.%9."/>
      <w:lvlJc w:val="left"/>
      <w:pPr>
        <w:ind w:left="4320" w:hanging="1440"/>
      </w:pPr>
    </w:lvl>
  </w:abstractNum>
  <w:abstractNum w:abstractNumId="49">
    <w:nsid w:val="6C0373EE"/>
    <w:multiLevelType w:val="multilevel"/>
    <w:tmpl w:val="6C0373EE"/>
    <w:lvl w:ilvl="0" w:tentative="0">
      <w:start w:val="1"/>
      <w:numFmt w:val="lowerLetter"/>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0">
    <w:nsid w:val="6C926991"/>
    <w:multiLevelType w:val="multilevel"/>
    <w:tmpl w:val="6C926991"/>
    <w:lvl w:ilvl="0" w:tentative="0">
      <w:start w:val="1"/>
      <w:numFmt w:val="bullet"/>
      <w:lvlText w:val="●"/>
      <w:lvlJc w:val="left"/>
      <w:pPr>
        <w:ind w:left="720" w:hanging="360"/>
      </w:pPr>
      <w:rPr>
        <w:rFonts w:ascii="Noto Sans Symbols" w:hAnsi="Noto Sans Symbols" w:eastAsia="Noto Sans Symbols" w:cs="Noto Sans Symbols"/>
      </w:rPr>
    </w:lvl>
    <w:lvl w:ilvl="1" w:tentative="0">
      <w:start w:val="1"/>
      <w:numFmt w:val="bullet"/>
      <w:lvlText w:val="o"/>
      <w:lvlJc w:val="left"/>
      <w:pPr>
        <w:ind w:left="1440" w:hanging="360"/>
      </w:pPr>
      <w:rPr>
        <w:rFonts w:ascii="Courier New" w:hAnsi="Courier New" w:eastAsia="Courier New" w:cs="Courier New"/>
      </w:rPr>
    </w:lvl>
    <w:lvl w:ilvl="2" w:tentative="0">
      <w:start w:val="1"/>
      <w:numFmt w:val="bullet"/>
      <w:lvlText w:val="▪"/>
      <w:lvlJc w:val="left"/>
      <w:pPr>
        <w:ind w:left="2160" w:hanging="360"/>
      </w:pPr>
      <w:rPr>
        <w:rFonts w:ascii="Noto Sans Symbols" w:hAnsi="Noto Sans Symbols" w:eastAsia="Noto Sans Symbols" w:cs="Noto Sans Symbols"/>
      </w:rPr>
    </w:lvl>
    <w:lvl w:ilvl="3" w:tentative="0">
      <w:start w:val="1"/>
      <w:numFmt w:val="bullet"/>
      <w:lvlText w:val="●"/>
      <w:lvlJc w:val="left"/>
      <w:pPr>
        <w:ind w:left="2880" w:hanging="360"/>
      </w:pPr>
      <w:rPr>
        <w:rFonts w:ascii="Noto Sans Symbols" w:hAnsi="Noto Sans Symbols" w:eastAsia="Noto Sans Symbols" w:cs="Noto Sans Symbols"/>
      </w:rPr>
    </w:lvl>
    <w:lvl w:ilvl="4" w:tentative="0">
      <w:start w:val="1"/>
      <w:numFmt w:val="bullet"/>
      <w:lvlText w:val="o"/>
      <w:lvlJc w:val="left"/>
      <w:pPr>
        <w:ind w:left="3600" w:hanging="360"/>
      </w:pPr>
      <w:rPr>
        <w:rFonts w:ascii="Courier New" w:hAnsi="Courier New" w:eastAsia="Courier New" w:cs="Courier New"/>
      </w:rPr>
    </w:lvl>
    <w:lvl w:ilvl="5" w:tentative="0">
      <w:start w:val="1"/>
      <w:numFmt w:val="bullet"/>
      <w:lvlText w:val="▪"/>
      <w:lvlJc w:val="left"/>
      <w:pPr>
        <w:ind w:left="4320" w:hanging="360"/>
      </w:pPr>
      <w:rPr>
        <w:rFonts w:ascii="Noto Sans Symbols" w:hAnsi="Noto Sans Symbols" w:eastAsia="Noto Sans Symbols" w:cs="Noto Sans Symbols"/>
      </w:rPr>
    </w:lvl>
    <w:lvl w:ilvl="6" w:tentative="0">
      <w:start w:val="1"/>
      <w:numFmt w:val="bullet"/>
      <w:lvlText w:val="●"/>
      <w:lvlJc w:val="left"/>
      <w:pPr>
        <w:ind w:left="5040" w:hanging="360"/>
      </w:pPr>
      <w:rPr>
        <w:rFonts w:ascii="Noto Sans Symbols" w:hAnsi="Noto Sans Symbols" w:eastAsia="Noto Sans Symbols" w:cs="Noto Sans Symbols"/>
      </w:rPr>
    </w:lvl>
    <w:lvl w:ilvl="7" w:tentative="0">
      <w:start w:val="1"/>
      <w:numFmt w:val="bullet"/>
      <w:lvlText w:val="o"/>
      <w:lvlJc w:val="left"/>
      <w:pPr>
        <w:ind w:left="5760" w:hanging="360"/>
      </w:pPr>
      <w:rPr>
        <w:rFonts w:ascii="Courier New" w:hAnsi="Courier New" w:eastAsia="Courier New" w:cs="Courier New"/>
      </w:rPr>
    </w:lvl>
    <w:lvl w:ilvl="8" w:tentative="0">
      <w:start w:val="1"/>
      <w:numFmt w:val="bullet"/>
      <w:lvlText w:val="▪"/>
      <w:lvlJc w:val="left"/>
      <w:pPr>
        <w:ind w:left="6480" w:hanging="360"/>
      </w:pPr>
      <w:rPr>
        <w:rFonts w:ascii="Noto Sans Symbols" w:hAnsi="Noto Sans Symbols" w:eastAsia="Noto Sans Symbols" w:cs="Noto Sans Symbols"/>
      </w:rPr>
    </w:lvl>
  </w:abstractNum>
  <w:abstractNum w:abstractNumId="51">
    <w:nsid w:val="737F233C"/>
    <w:multiLevelType w:val="multilevel"/>
    <w:tmpl w:val="737F233C"/>
    <w:lvl w:ilvl="0" w:tentative="0">
      <w:start w:val="1"/>
      <w:numFmt w:val="low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2">
    <w:nsid w:val="79840638"/>
    <w:multiLevelType w:val="multilevel"/>
    <w:tmpl w:val="79840638"/>
    <w:lvl w:ilvl="0" w:tentative="0">
      <w:start w:val="3"/>
      <w:numFmt w:val="decimal"/>
      <w:lvlText w:val="%1."/>
      <w:lvlJc w:val="left"/>
      <w:pPr>
        <w:ind w:left="720" w:hanging="720"/>
      </w:pPr>
      <w:rPr>
        <w:rFonts w:hint="default"/>
      </w:rPr>
    </w:lvl>
    <w:lvl w:ilvl="1" w:tentative="0">
      <w:start w:val="3"/>
      <w:numFmt w:val="decimal"/>
      <w:lvlText w:val="%1.%2."/>
      <w:lvlJc w:val="left"/>
      <w:pPr>
        <w:ind w:left="720" w:hanging="720"/>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1080" w:hanging="1080"/>
      </w:pPr>
      <w:rPr>
        <w:rFonts w:hint="default"/>
      </w:rPr>
    </w:lvl>
    <w:lvl w:ilvl="4" w:tentative="0">
      <w:start w:val="1"/>
      <w:numFmt w:val="decimal"/>
      <w:lvlText w:val="%1.%2.%3.%4.%5."/>
      <w:lvlJc w:val="left"/>
      <w:pPr>
        <w:ind w:left="1080" w:hanging="1080"/>
      </w:pPr>
      <w:rPr>
        <w:rFonts w:hint="default"/>
        <w:b/>
        <w:bCs/>
      </w:rPr>
    </w:lvl>
    <w:lvl w:ilvl="5" w:tentative="0">
      <w:start w:val="1"/>
      <w:numFmt w:val="decimal"/>
      <w:lvlText w:val="%1.%2.%3.%4.%5.%6."/>
      <w:lvlJc w:val="left"/>
      <w:pPr>
        <w:ind w:left="1440" w:hanging="144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800" w:hanging="1800"/>
      </w:pPr>
      <w:rPr>
        <w:rFonts w:hint="default"/>
      </w:rPr>
    </w:lvl>
    <w:lvl w:ilvl="8" w:tentative="0">
      <w:start w:val="1"/>
      <w:numFmt w:val="decimal"/>
      <w:lvlText w:val="%1.%2.%3.%4.%5.%6.%7.%8.%9."/>
      <w:lvlJc w:val="left"/>
      <w:pPr>
        <w:ind w:left="1800" w:hanging="1800"/>
      </w:pPr>
      <w:rPr>
        <w:rFonts w:hint="default"/>
      </w:rPr>
    </w:lvl>
  </w:abstractNum>
  <w:abstractNum w:abstractNumId="53">
    <w:nsid w:val="7B1D5AA7"/>
    <w:multiLevelType w:val="multilevel"/>
    <w:tmpl w:val="7B1D5AA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4">
    <w:nsid w:val="7B37446B"/>
    <w:multiLevelType w:val="multilevel"/>
    <w:tmpl w:val="7B37446B"/>
    <w:lvl w:ilvl="0" w:tentative="0">
      <w:start w:val="2"/>
      <w:numFmt w:val="decimal"/>
      <w:lvlText w:val="%1."/>
      <w:lvlJc w:val="left"/>
      <w:pPr>
        <w:ind w:left="720" w:hanging="720"/>
      </w:pPr>
      <w:rPr>
        <w:rFonts w:hint="default"/>
      </w:rPr>
    </w:lvl>
    <w:lvl w:ilvl="1" w:tentative="0">
      <w:start w:val="8"/>
      <w:numFmt w:val="decimal"/>
      <w:lvlText w:val="%1.%2."/>
      <w:lvlJc w:val="left"/>
      <w:pPr>
        <w:ind w:left="720" w:hanging="720"/>
      </w:pPr>
      <w:rPr>
        <w:rFonts w:hint="default"/>
      </w:rPr>
    </w:lvl>
    <w:lvl w:ilvl="2" w:tentative="0">
      <w:start w:val="1"/>
      <w:numFmt w:val="decimal"/>
      <w:lvlText w:val="%1.%2.%3."/>
      <w:lvlJc w:val="left"/>
      <w:pPr>
        <w:ind w:left="720" w:hanging="720"/>
      </w:pPr>
      <w:rPr>
        <w:rFonts w:hint="default"/>
      </w:rPr>
    </w:lvl>
    <w:lvl w:ilvl="3" w:tentative="0">
      <w:start w:val="2"/>
      <w:numFmt w:val="decimal"/>
      <w:lvlText w:val="%1.%2.%3.%4."/>
      <w:lvlJc w:val="left"/>
      <w:pPr>
        <w:ind w:left="1080" w:hanging="108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440" w:hanging="144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800" w:hanging="1800"/>
      </w:pPr>
      <w:rPr>
        <w:rFonts w:hint="default"/>
      </w:rPr>
    </w:lvl>
    <w:lvl w:ilvl="8" w:tentative="0">
      <w:start w:val="1"/>
      <w:numFmt w:val="decimal"/>
      <w:lvlText w:val="%1.%2.%3.%4.%5.%6.%7.%8.%9."/>
      <w:lvlJc w:val="left"/>
      <w:pPr>
        <w:ind w:left="1800" w:hanging="1800"/>
      </w:pPr>
      <w:rPr>
        <w:rFonts w:hint="default"/>
      </w:rPr>
    </w:lvl>
  </w:abstractNum>
  <w:abstractNum w:abstractNumId="55">
    <w:nsid w:val="7F356581"/>
    <w:multiLevelType w:val="multilevel"/>
    <w:tmpl w:val="7F35658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43"/>
  </w:num>
  <w:num w:numId="2">
    <w:abstractNumId w:val="30"/>
  </w:num>
  <w:num w:numId="3">
    <w:abstractNumId w:val="1"/>
  </w:num>
  <w:num w:numId="4">
    <w:abstractNumId w:val="19"/>
  </w:num>
  <w:num w:numId="5">
    <w:abstractNumId w:val="28"/>
  </w:num>
  <w:num w:numId="6">
    <w:abstractNumId w:val="27"/>
  </w:num>
  <w:num w:numId="7">
    <w:abstractNumId w:val="21"/>
  </w:num>
  <w:num w:numId="8">
    <w:abstractNumId w:val="29"/>
  </w:num>
  <w:num w:numId="9">
    <w:abstractNumId w:val="51"/>
  </w:num>
  <w:num w:numId="10">
    <w:abstractNumId w:val="2"/>
  </w:num>
  <w:num w:numId="11">
    <w:abstractNumId w:val="3"/>
  </w:num>
  <w:num w:numId="12">
    <w:abstractNumId w:val="48"/>
  </w:num>
  <w:num w:numId="13">
    <w:abstractNumId w:val="35"/>
  </w:num>
  <w:num w:numId="14">
    <w:abstractNumId w:val="39"/>
  </w:num>
  <w:num w:numId="15">
    <w:abstractNumId w:val="53"/>
  </w:num>
  <w:num w:numId="16">
    <w:abstractNumId w:val="47"/>
  </w:num>
  <w:num w:numId="17">
    <w:abstractNumId w:val="23"/>
  </w:num>
  <w:num w:numId="18">
    <w:abstractNumId w:val="11"/>
  </w:num>
  <w:num w:numId="19">
    <w:abstractNumId w:val="42"/>
  </w:num>
  <w:num w:numId="20">
    <w:abstractNumId w:val="37"/>
  </w:num>
  <w:num w:numId="21">
    <w:abstractNumId w:val="22"/>
  </w:num>
  <w:num w:numId="22">
    <w:abstractNumId w:val="0"/>
  </w:num>
  <w:num w:numId="23">
    <w:abstractNumId w:val="16"/>
  </w:num>
  <w:num w:numId="24">
    <w:abstractNumId w:val="46"/>
  </w:num>
  <w:num w:numId="25">
    <w:abstractNumId w:val="54"/>
  </w:num>
  <w:num w:numId="26">
    <w:abstractNumId w:val="13"/>
  </w:num>
  <w:num w:numId="27">
    <w:abstractNumId w:val="9"/>
  </w:num>
  <w:num w:numId="28">
    <w:abstractNumId w:val="15"/>
  </w:num>
  <w:num w:numId="29">
    <w:abstractNumId w:val="7"/>
  </w:num>
  <w:num w:numId="30">
    <w:abstractNumId w:val="33"/>
  </w:num>
  <w:num w:numId="31">
    <w:abstractNumId w:val="17"/>
  </w:num>
  <w:num w:numId="32">
    <w:abstractNumId w:val="12"/>
  </w:num>
  <w:num w:numId="33">
    <w:abstractNumId w:val="8"/>
  </w:num>
  <w:num w:numId="34">
    <w:abstractNumId w:val="52"/>
  </w:num>
  <w:num w:numId="35">
    <w:abstractNumId w:val="24"/>
  </w:num>
  <w:num w:numId="36">
    <w:abstractNumId w:val="34"/>
  </w:num>
  <w:num w:numId="37">
    <w:abstractNumId w:val="55"/>
  </w:num>
  <w:num w:numId="38">
    <w:abstractNumId w:val="26"/>
  </w:num>
  <w:num w:numId="39">
    <w:abstractNumId w:val="10"/>
  </w:num>
  <w:num w:numId="40">
    <w:abstractNumId w:val="40"/>
  </w:num>
  <w:num w:numId="41">
    <w:abstractNumId w:val="49"/>
  </w:num>
  <w:num w:numId="42">
    <w:abstractNumId w:val="45"/>
  </w:num>
  <w:num w:numId="43">
    <w:abstractNumId w:val="25"/>
  </w:num>
  <w:num w:numId="44">
    <w:abstractNumId w:val="41"/>
  </w:num>
  <w:num w:numId="45">
    <w:abstractNumId w:val="36"/>
  </w:num>
  <w:num w:numId="46">
    <w:abstractNumId w:val="5"/>
  </w:num>
  <w:num w:numId="47">
    <w:abstractNumId w:val="4"/>
  </w:num>
  <w:num w:numId="48">
    <w:abstractNumId w:val="32"/>
  </w:num>
  <w:num w:numId="4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8"/>
  </w:num>
  <w:num w:numId="51">
    <w:abstractNumId w:val="44"/>
  </w:num>
  <w:num w:numId="52">
    <w:abstractNumId w:val="20"/>
  </w:num>
  <w:num w:numId="53">
    <w:abstractNumId w:val="50"/>
  </w:num>
  <w:num w:numId="54">
    <w:abstractNumId w:val="18"/>
  </w:num>
  <w:num w:numId="55">
    <w:abstractNumId w:val="31"/>
  </w:num>
  <w:num w:numId="56">
    <w:abstractNumId w:val="1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ASUS">
    <w15:presenceInfo w15:providerId="None" w15:userId="ASU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cumentProtection w:enforcement="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F3E7C"/>
    <w:rsid w:val="00002272"/>
    <w:rsid w:val="00004102"/>
    <w:rsid w:val="00011253"/>
    <w:rsid w:val="00014C8C"/>
    <w:rsid w:val="00017BFC"/>
    <w:rsid w:val="0002760C"/>
    <w:rsid w:val="00032114"/>
    <w:rsid w:val="000408DF"/>
    <w:rsid w:val="000420B1"/>
    <w:rsid w:val="00042F86"/>
    <w:rsid w:val="0004438D"/>
    <w:rsid w:val="000446B3"/>
    <w:rsid w:val="0004643D"/>
    <w:rsid w:val="00050188"/>
    <w:rsid w:val="00050BC3"/>
    <w:rsid w:val="000518F5"/>
    <w:rsid w:val="00052007"/>
    <w:rsid w:val="000639BC"/>
    <w:rsid w:val="00064011"/>
    <w:rsid w:val="00067996"/>
    <w:rsid w:val="000823FE"/>
    <w:rsid w:val="00082E8C"/>
    <w:rsid w:val="00083B7B"/>
    <w:rsid w:val="00083C27"/>
    <w:rsid w:val="00085280"/>
    <w:rsid w:val="0008599D"/>
    <w:rsid w:val="00090023"/>
    <w:rsid w:val="00091138"/>
    <w:rsid w:val="000A30C6"/>
    <w:rsid w:val="000A43DE"/>
    <w:rsid w:val="000A6F5B"/>
    <w:rsid w:val="000B12AD"/>
    <w:rsid w:val="000B1489"/>
    <w:rsid w:val="000C3EEE"/>
    <w:rsid w:val="000C4939"/>
    <w:rsid w:val="000C6EA4"/>
    <w:rsid w:val="000D79A9"/>
    <w:rsid w:val="000D79AC"/>
    <w:rsid w:val="000E0BA2"/>
    <w:rsid w:val="000E6499"/>
    <w:rsid w:val="000E6D96"/>
    <w:rsid w:val="000E6EA9"/>
    <w:rsid w:val="000F0210"/>
    <w:rsid w:val="000F17EF"/>
    <w:rsid w:val="000F2C8F"/>
    <w:rsid w:val="000F373D"/>
    <w:rsid w:val="000F3919"/>
    <w:rsid w:val="000F3CE2"/>
    <w:rsid w:val="000F5FEF"/>
    <w:rsid w:val="000F644D"/>
    <w:rsid w:val="0010511C"/>
    <w:rsid w:val="00105901"/>
    <w:rsid w:val="00106441"/>
    <w:rsid w:val="001069FB"/>
    <w:rsid w:val="0011469A"/>
    <w:rsid w:val="00121CD9"/>
    <w:rsid w:val="00122232"/>
    <w:rsid w:val="00124B02"/>
    <w:rsid w:val="00124BC7"/>
    <w:rsid w:val="0012575E"/>
    <w:rsid w:val="00133F24"/>
    <w:rsid w:val="00144DF4"/>
    <w:rsid w:val="00145551"/>
    <w:rsid w:val="001463A3"/>
    <w:rsid w:val="001466D1"/>
    <w:rsid w:val="00147842"/>
    <w:rsid w:val="001501ED"/>
    <w:rsid w:val="001547A9"/>
    <w:rsid w:val="00162C8C"/>
    <w:rsid w:val="00163EC4"/>
    <w:rsid w:val="0016785F"/>
    <w:rsid w:val="001707E9"/>
    <w:rsid w:val="001724A8"/>
    <w:rsid w:val="00173012"/>
    <w:rsid w:val="00177958"/>
    <w:rsid w:val="00181008"/>
    <w:rsid w:val="001814CE"/>
    <w:rsid w:val="00182652"/>
    <w:rsid w:val="00186BB9"/>
    <w:rsid w:val="00190D04"/>
    <w:rsid w:val="0019199E"/>
    <w:rsid w:val="00195464"/>
    <w:rsid w:val="001A4037"/>
    <w:rsid w:val="001A5D25"/>
    <w:rsid w:val="001B047E"/>
    <w:rsid w:val="001B0CD7"/>
    <w:rsid w:val="001B22F5"/>
    <w:rsid w:val="001B69E9"/>
    <w:rsid w:val="001B71AA"/>
    <w:rsid w:val="001C3968"/>
    <w:rsid w:val="001C64BB"/>
    <w:rsid w:val="001D131C"/>
    <w:rsid w:val="001D389E"/>
    <w:rsid w:val="001D5E55"/>
    <w:rsid w:val="001D61D4"/>
    <w:rsid w:val="001E001F"/>
    <w:rsid w:val="001E0A2D"/>
    <w:rsid w:val="001F07F1"/>
    <w:rsid w:val="001F145B"/>
    <w:rsid w:val="001F3DD5"/>
    <w:rsid w:val="00201D23"/>
    <w:rsid w:val="00204E29"/>
    <w:rsid w:val="00223DBA"/>
    <w:rsid w:val="0022436D"/>
    <w:rsid w:val="0023510C"/>
    <w:rsid w:val="00240D82"/>
    <w:rsid w:val="00244F90"/>
    <w:rsid w:val="002453A0"/>
    <w:rsid w:val="00245F56"/>
    <w:rsid w:val="00246040"/>
    <w:rsid w:val="002538E1"/>
    <w:rsid w:val="00253FE7"/>
    <w:rsid w:val="0026597B"/>
    <w:rsid w:val="00265995"/>
    <w:rsid w:val="002705E9"/>
    <w:rsid w:val="0027678F"/>
    <w:rsid w:val="002936EB"/>
    <w:rsid w:val="002A4BE8"/>
    <w:rsid w:val="002A65EE"/>
    <w:rsid w:val="002B126B"/>
    <w:rsid w:val="002B4723"/>
    <w:rsid w:val="002B4DF1"/>
    <w:rsid w:val="002C132E"/>
    <w:rsid w:val="002C4C87"/>
    <w:rsid w:val="002C65D7"/>
    <w:rsid w:val="002C6FF5"/>
    <w:rsid w:val="002C7C35"/>
    <w:rsid w:val="002D1FA7"/>
    <w:rsid w:val="002D2A3D"/>
    <w:rsid w:val="002D7C59"/>
    <w:rsid w:val="002E2A21"/>
    <w:rsid w:val="002E3415"/>
    <w:rsid w:val="002E361E"/>
    <w:rsid w:val="002E460D"/>
    <w:rsid w:val="002E5176"/>
    <w:rsid w:val="002F00A6"/>
    <w:rsid w:val="002F188A"/>
    <w:rsid w:val="002F238A"/>
    <w:rsid w:val="002F398B"/>
    <w:rsid w:val="002F40E2"/>
    <w:rsid w:val="002F6127"/>
    <w:rsid w:val="00300183"/>
    <w:rsid w:val="0030480B"/>
    <w:rsid w:val="003258D4"/>
    <w:rsid w:val="00326D03"/>
    <w:rsid w:val="003305B1"/>
    <w:rsid w:val="00332B46"/>
    <w:rsid w:val="00334631"/>
    <w:rsid w:val="0033577D"/>
    <w:rsid w:val="00340E99"/>
    <w:rsid w:val="00341A75"/>
    <w:rsid w:val="00347C68"/>
    <w:rsid w:val="00356572"/>
    <w:rsid w:val="00363733"/>
    <w:rsid w:val="00366E96"/>
    <w:rsid w:val="00382D7B"/>
    <w:rsid w:val="003910CC"/>
    <w:rsid w:val="0039182B"/>
    <w:rsid w:val="0039442D"/>
    <w:rsid w:val="003A1EF8"/>
    <w:rsid w:val="003A25C9"/>
    <w:rsid w:val="003A7E96"/>
    <w:rsid w:val="003B2846"/>
    <w:rsid w:val="003B3C77"/>
    <w:rsid w:val="003B5397"/>
    <w:rsid w:val="003B72C4"/>
    <w:rsid w:val="003C6A30"/>
    <w:rsid w:val="003D185F"/>
    <w:rsid w:val="003D18C1"/>
    <w:rsid w:val="003E0D13"/>
    <w:rsid w:val="003E2BB6"/>
    <w:rsid w:val="003E58FA"/>
    <w:rsid w:val="003E7B3F"/>
    <w:rsid w:val="003F43EC"/>
    <w:rsid w:val="003F6F42"/>
    <w:rsid w:val="00404616"/>
    <w:rsid w:val="0040520C"/>
    <w:rsid w:val="0041477D"/>
    <w:rsid w:val="00415881"/>
    <w:rsid w:val="00416CCA"/>
    <w:rsid w:val="0042292D"/>
    <w:rsid w:val="00422DD0"/>
    <w:rsid w:val="00424734"/>
    <w:rsid w:val="00424F5F"/>
    <w:rsid w:val="0043042E"/>
    <w:rsid w:val="00433BB1"/>
    <w:rsid w:val="004349ED"/>
    <w:rsid w:val="00452867"/>
    <w:rsid w:val="00462557"/>
    <w:rsid w:val="00463913"/>
    <w:rsid w:val="0046403E"/>
    <w:rsid w:val="00464F0D"/>
    <w:rsid w:val="00467BCE"/>
    <w:rsid w:val="00476D89"/>
    <w:rsid w:val="00477383"/>
    <w:rsid w:val="004826D9"/>
    <w:rsid w:val="00483DFE"/>
    <w:rsid w:val="00486746"/>
    <w:rsid w:val="0049474F"/>
    <w:rsid w:val="004A0131"/>
    <w:rsid w:val="004A01C0"/>
    <w:rsid w:val="004A1A13"/>
    <w:rsid w:val="004A4C47"/>
    <w:rsid w:val="004A51EC"/>
    <w:rsid w:val="004A61F5"/>
    <w:rsid w:val="004A76C9"/>
    <w:rsid w:val="004C153F"/>
    <w:rsid w:val="004C48CE"/>
    <w:rsid w:val="004D08D1"/>
    <w:rsid w:val="004D35DE"/>
    <w:rsid w:val="004D476E"/>
    <w:rsid w:val="004E64C8"/>
    <w:rsid w:val="004F1431"/>
    <w:rsid w:val="004F1ACA"/>
    <w:rsid w:val="004F3716"/>
    <w:rsid w:val="004F75F5"/>
    <w:rsid w:val="005006AE"/>
    <w:rsid w:val="00500E11"/>
    <w:rsid w:val="005020C8"/>
    <w:rsid w:val="00503915"/>
    <w:rsid w:val="00510659"/>
    <w:rsid w:val="00512921"/>
    <w:rsid w:val="00512DAE"/>
    <w:rsid w:val="005139DE"/>
    <w:rsid w:val="005178E0"/>
    <w:rsid w:val="00520008"/>
    <w:rsid w:val="00521A51"/>
    <w:rsid w:val="0052274C"/>
    <w:rsid w:val="00523B04"/>
    <w:rsid w:val="0052745D"/>
    <w:rsid w:val="00530284"/>
    <w:rsid w:val="00532176"/>
    <w:rsid w:val="00534A3A"/>
    <w:rsid w:val="0054171C"/>
    <w:rsid w:val="00542C3D"/>
    <w:rsid w:val="00561A2A"/>
    <w:rsid w:val="00565ABF"/>
    <w:rsid w:val="00565C29"/>
    <w:rsid w:val="00566D50"/>
    <w:rsid w:val="00570D56"/>
    <w:rsid w:val="00574796"/>
    <w:rsid w:val="00576CE5"/>
    <w:rsid w:val="00581984"/>
    <w:rsid w:val="005868F1"/>
    <w:rsid w:val="0059536C"/>
    <w:rsid w:val="005957FA"/>
    <w:rsid w:val="005A0402"/>
    <w:rsid w:val="005A4F77"/>
    <w:rsid w:val="005D0CDF"/>
    <w:rsid w:val="005D35D0"/>
    <w:rsid w:val="005D38F2"/>
    <w:rsid w:val="005D3BC4"/>
    <w:rsid w:val="005D528E"/>
    <w:rsid w:val="005E072A"/>
    <w:rsid w:val="005E2FE5"/>
    <w:rsid w:val="005E381B"/>
    <w:rsid w:val="005E40C4"/>
    <w:rsid w:val="005E4447"/>
    <w:rsid w:val="005F05EC"/>
    <w:rsid w:val="0060431B"/>
    <w:rsid w:val="00604E9C"/>
    <w:rsid w:val="00614069"/>
    <w:rsid w:val="00616230"/>
    <w:rsid w:val="006162F3"/>
    <w:rsid w:val="006237BF"/>
    <w:rsid w:val="0062439B"/>
    <w:rsid w:val="00630D42"/>
    <w:rsid w:val="006546B5"/>
    <w:rsid w:val="00656E83"/>
    <w:rsid w:val="00666628"/>
    <w:rsid w:val="0067088D"/>
    <w:rsid w:val="00671151"/>
    <w:rsid w:val="006731F2"/>
    <w:rsid w:val="006834E1"/>
    <w:rsid w:val="00683C06"/>
    <w:rsid w:val="0069273D"/>
    <w:rsid w:val="00695019"/>
    <w:rsid w:val="006963B0"/>
    <w:rsid w:val="00697BF4"/>
    <w:rsid w:val="006A0740"/>
    <w:rsid w:val="006B0AB9"/>
    <w:rsid w:val="006B16CD"/>
    <w:rsid w:val="006B1D79"/>
    <w:rsid w:val="006B2A14"/>
    <w:rsid w:val="006C1D5A"/>
    <w:rsid w:val="006C4247"/>
    <w:rsid w:val="006D2429"/>
    <w:rsid w:val="006E663E"/>
    <w:rsid w:val="006E6EA1"/>
    <w:rsid w:val="006E7D5A"/>
    <w:rsid w:val="006F058B"/>
    <w:rsid w:val="006F2FE1"/>
    <w:rsid w:val="006F5C97"/>
    <w:rsid w:val="006F6D00"/>
    <w:rsid w:val="006F7EE2"/>
    <w:rsid w:val="00701140"/>
    <w:rsid w:val="00705AAB"/>
    <w:rsid w:val="007077E8"/>
    <w:rsid w:val="00707D3B"/>
    <w:rsid w:val="00711029"/>
    <w:rsid w:val="0071222C"/>
    <w:rsid w:val="00714E9F"/>
    <w:rsid w:val="00716742"/>
    <w:rsid w:val="00716D3E"/>
    <w:rsid w:val="00725526"/>
    <w:rsid w:val="007263B1"/>
    <w:rsid w:val="00730160"/>
    <w:rsid w:val="0073228F"/>
    <w:rsid w:val="00732958"/>
    <w:rsid w:val="00737D7E"/>
    <w:rsid w:val="00744EC5"/>
    <w:rsid w:val="00747ADE"/>
    <w:rsid w:val="00750163"/>
    <w:rsid w:val="0075622D"/>
    <w:rsid w:val="00756F88"/>
    <w:rsid w:val="007570A6"/>
    <w:rsid w:val="007619A6"/>
    <w:rsid w:val="00771E47"/>
    <w:rsid w:val="0077342D"/>
    <w:rsid w:val="00774263"/>
    <w:rsid w:val="00774981"/>
    <w:rsid w:val="0078694D"/>
    <w:rsid w:val="00786DBA"/>
    <w:rsid w:val="00794459"/>
    <w:rsid w:val="007978B8"/>
    <w:rsid w:val="007A66EC"/>
    <w:rsid w:val="007C4F5B"/>
    <w:rsid w:val="007C6780"/>
    <w:rsid w:val="007C7E18"/>
    <w:rsid w:val="007D11CB"/>
    <w:rsid w:val="007D3414"/>
    <w:rsid w:val="007D7205"/>
    <w:rsid w:val="007E1640"/>
    <w:rsid w:val="007E7332"/>
    <w:rsid w:val="007F2027"/>
    <w:rsid w:val="007F3E7C"/>
    <w:rsid w:val="007F3FD8"/>
    <w:rsid w:val="007F41E4"/>
    <w:rsid w:val="007F464C"/>
    <w:rsid w:val="007F4918"/>
    <w:rsid w:val="00804B40"/>
    <w:rsid w:val="008064DD"/>
    <w:rsid w:val="0080660E"/>
    <w:rsid w:val="00806AD1"/>
    <w:rsid w:val="00806DD7"/>
    <w:rsid w:val="00811206"/>
    <w:rsid w:val="008137B6"/>
    <w:rsid w:val="00815A33"/>
    <w:rsid w:val="00816FC0"/>
    <w:rsid w:val="00820318"/>
    <w:rsid w:val="00822D76"/>
    <w:rsid w:val="00822EAE"/>
    <w:rsid w:val="00833EEC"/>
    <w:rsid w:val="008429A2"/>
    <w:rsid w:val="008452BB"/>
    <w:rsid w:val="00865EFD"/>
    <w:rsid w:val="008734F4"/>
    <w:rsid w:val="0087463E"/>
    <w:rsid w:val="00875C4A"/>
    <w:rsid w:val="00882C9C"/>
    <w:rsid w:val="00892538"/>
    <w:rsid w:val="00894CD7"/>
    <w:rsid w:val="0089798A"/>
    <w:rsid w:val="00897C54"/>
    <w:rsid w:val="008A3578"/>
    <w:rsid w:val="008A7330"/>
    <w:rsid w:val="008A7446"/>
    <w:rsid w:val="008B0EF2"/>
    <w:rsid w:val="008B1739"/>
    <w:rsid w:val="008B1AF5"/>
    <w:rsid w:val="008B270B"/>
    <w:rsid w:val="008C362C"/>
    <w:rsid w:val="008C4C24"/>
    <w:rsid w:val="008C5251"/>
    <w:rsid w:val="008C6C0B"/>
    <w:rsid w:val="008D1E0B"/>
    <w:rsid w:val="008D23AD"/>
    <w:rsid w:val="008D2C54"/>
    <w:rsid w:val="008D4A1E"/>
    <w:rsid w:val="008E2B5D"/>
    <w:rsid w:val="008E403F"/>
    <w:rsid w:val="008F0FF4"/>
    <w:rsid w:val="008F14BB"/>
    <w:rsid w:val="008F2873"/>
    <w:rsid w:val="008F457F"/>
    <w:rsid w:val="009010EA"/>
    <w:rsid w:val="00904415"/>
    <w:rsid w:val="00907961"/>
    <w:rsid w:val="009126A0"/>
    <w:rsid w:val="00916703"/>
    <w:rsid w:val="00923290"/>
    <w:rsid w:val="00923A3D"/>
    <w:rsid w:val="0092542F"/>
    <w:rsid w:val="009270E3"/>
    <w:rsid w:val="00927716"/>
    <w:rsid w:val="0093343B"/>
    <w:rsid w:val="0093429D"/>
    <w:rsid w:val="009406BE"/>
    <w:rsid w:val="0094119B"/>
    <w:rsid w:val="009411AA"/>
    <w:rsid w:val="009471BC"/>
    <w:rsid w:val="009518C5"/>
    <w:rsid w:val="0095373C"/>
    <w:rsid w:val="009562CE"/>
    <w:rsid w:val="00964310"/>
    <w:rsid w:val="00965AB8"/>
    <w:rsid w:val="00975A77"/>
    <w:rsid w:val="00976B21"/>
    <w:rsid w:val="0099187F"/>
    <w:rsid w:val="009923CD"/>
    <w:rsid w:val="0099332E"/>
    <w:rsid w:val="00993A0C"/>
    <w:rsid w:val="00994566"/>
    <w:rsid w:val="00996B96"/>
    <w:rsid w:val="009B00B2"/>
    <w:rsid w:val="009B744D"/>
    <w:rsid w:val="009C0379"/>
    <w:rsid w:val="009C0A3A"/>
    <w:rsid w:val="009C6830"/>
    <w:rsid w:val="009D4E96"/>
    <w:rsid w:val="009D5A4E"/>
    <w:rsid w:val="009D718C"/>
    <w:rsid w:val="009E657A"/>
    <w:rsid w:val="009E6C85"/>
    <w:rsid w:val="009F25E6"/>
    <w:rsid w:val="009F3074"/>
    <w:rsid w:val="009F5CB3"/>
    <w:rsid w:val="009F6DC1"/>
    <w:rsid w:val="00A003CE"/>
    <w:rsid w:val="00A07E33"/>
    <w:rsid w:val="00A11A5F"/>
    <w:rsid w:val="00A121DE"/>
    <w:rsid w:val="00A17047"/>
    <w:rsid w:val="00A2331C"/>
    <w:rsid w:val="00A24889"/>
    <w:rsid w:val="00A30597"/>
    <w:rsid w:val="00A31FBD"/>
    <w:rsid w:val="00A32A8C"/>
    <w:rsid w:val="00A37886"/>
    <w:rsid w:val="00A37F5C"/>
    <w:rsid w:val="00A4397E"/>
    <w:rsid w:val="00A4448B"/>
    <w:rsid w:val="00A45330"/>
    <w:rsid w:val="00A46E21"/>
    <w:rsid w:val="00A47FA3"/>
    <w:rsid w:val="00A50975"/>
    <w:rsid w:val="00A57B40"/>
    <w:rsid w:val="00A61E58"/>
    <w:rsid w:val="00A669F6"/>
    <w:rsid w:val="00A71060"/>
    <w:rsid w:val="00A732D3"/>
    <w:rsid w:val="00A82BD4"/>
    <w:rsid w:val="00A9036D"/>
    <w:rsid w:val="00A95EB9"/>
    <w:rsid w:val="00AA01C6"/>
    <w:rsid w:val="00AA0476"/>
    <w:rsid w:val="00AA0903"/>
    <w:rsid w:val="00AA44EE"/>
    <w:rsid w:val="00AA4A94"/>
    <w:rsid w:val="00AC15C7"/>
    <w:rsid w:val="00AC5459"/>
    <w:rsid w:val="00AC58EC"/>
    <w:rsid w:val="00AC59F9"/>
    <w:rsid w:val="00AD1F83"/>
    <w:rsid w:val="00AD3437"/>
    <w:rsid w:val="00AD538E"/>
    <w:rsid w:val="00AE5C3E"/>
    <w:rsid w:val="00AF005B"/>
    <w:rsid w:val="00AF6E84"/>
    <w:rsid w:val="00B06533"/>
    <w:rsid w:val="00B06A91"/>
    <w:rsid w:val="00B06F0D"/>
    <w:rsid w:val="00B07A6B"/>
    <w:rsid w:val="00B10277"/>
    <w:rsid w:val="00B108C1"/>
    <w:rsid w:val="00B16749"/>
    <w:rsid w:val="00B34240"/>
    <w:rsid w:val="00B41DB0"/>
    <w:rsid w:val="00B42AAB"/>
    <w:rsid w:val="00B42EBB"/>
    <w:rsid w:val="00B4313E"/>
    <w:rsid w:val="00B50454"/>
    <w:rsid w:val="00B508B5"/>
    <w:rsid w:val="00B651AB"/>
    <w:rsid w:val="00B669CB"/>
    <w:rsid w:val="00B6700C"/>
    <w:rsid w:val="00B80A34"/>
    <w:rsid w:val="00B821F1"/>
    <w:rsid w:val="00B86A68"/>
    <w:rsid w:val="00B8779E"/>
    <w:rsid w:val="00B930A3"/>
    <w:rsid w:val="00B961CB"/>
    <w:rsid w:val="00BA3678"/>
    <w:rsid w:val="00BA5741"/>
    <w:rsid w:val="00BB2423"/>
    <w:rsid w:val="00BB354B"/>
    <w:rsid w:val="00BB51C6"/>
    <w:rsid w:val="00BB67B6"/>
    <w:rsid w:val="00BC2581"/>
    <w:rsid w:val="00BD2F47"/>
    <w:rsid w:val="00BD49F9"/>
    <w:rsid w:val="00BD6951"/>
    <w:rsid w:val="00BE17FC"/>
    <w:rsid w:val="00BE1C04"/>
    <w:rsid w:val="00BE2BE1"/>
    <w:rsid w:val="00BE358A"/>
    <w:rsid w:val="00BE4DA9"/>
    <w:rsid w:val="00BE5839"/>
    <w:rsid w:val="00BE59E4"/>
    <w:rsid w:val="00BE59F5"/>
    <w:rsid w:val="00BE719E"/>
    <w:rsid w:val="00BF3119"/>
    <w:rsid w:val="00BF4829"/>
    <w:rsid w:val="00BF5FB7"/>
    <w:rsid w:val="00BF6D9F"/>
    <w:rsid w:val="00C10161"/>
    <w:rsid w:val="00C2246C"/>
    <w:rsid w:val="00C2773C"/>
    <w:rsid w:val="00C31274"/>
    <w:rsid w:val="00C35C83"/>
    <w:rsid w:val="00C4116D"/>
    <w:rsid w:val="00C41262"/>
    <w:rsid w:val="00C4171D"/>
    <w:rsid w:val="00C4198A"/>
    <w:rsid w:val="00C469E3"/>
    <w:rsid w:val="00C47895"/>
    <w:rsid w:val="00C51108"/>
    <w:rsid w:val="00C511CC"/>
    <w:rsid w:val="00C53C65"/>
    <w:rsid w:val="00C54C61"/>
    <w:rsid w:val="00C6266C"/>
    <w:rsid w:val="00C62D33"/>
    <w:rsid w:val="00C63309"/>
    <w:rsid w:val="00C66D82"/>
    <w:rsid w:val="00C7424B"/>
    <w:rsid w:val="00C748AF"/>
    <w:rsid w:val="00C7576C"/>
    <w:rsid w:val="00C75808"/>
    <w:rsid w:val="00C80534"/>
    <w:rsid w:val="00C81D68"/>
    <w:rsid w:val="00C81E82"/>
    <w:rsid w:val="00C861B5"/>
    <w:rsid w:val="00C861C6"/>
    <w:rsid w:val="00C8672E"/>
    <w:rsid w:val="00C86D06"/>
    <w:rsid w:val="00C96F39"/>
    <w:rsid w:val="00CA1188"/>
    <w:rsid w:val="00CA3DEC"/>
    <w:rsid w:val="00CA5178"/>
    <w:rsid w:val="00CA5F53"/>
    <w:rsid w:val="00CA7DA6"/>
    <w:rsid w:val="00CB1249"/>
    <w:rsid w:val="00CB4070"/>
    <w:rsid w:val="00CB6633"/>
    <w:rsid w:val="00CB695E"/>
    <w:rsid w:val="00CB6FA9"/>
    <w:rsid w:val="00CC0B9E"/>
    <w:rsid w:val="00CC1228"/>
    <w:rsid w:val="00CC258F"/>
    <w:rsid w:val="00CC3F2D"/>
    <w:rsid w:val="00CC7AF6"/>
    <w:rsid w:val="00CD11BD"/>
    <w:rsid w:val="00CD24C7"/>
    <w:rsid w:val="00CD31CF"/>
    <w:rsid w:val="00CD6FB9"/>
    <w:rsid w:val="00CD7BFE"/>
    <w:rsid w:val="00CE6B69"/>
    <w:rsid w:val="00CE7C6E"/>
    <w:rsid w:val="00CF2830"/>
    <w:rsid w:val="00CF40CC"/>
    <w:rsid w:val="00CF50B5"/>
    <w:rsid w:val="00CF61E9"/>
    <w:rsid w:val="00D0451D"/>
    <w:rsid w:val="00D0760C"/>
    <w:rsid w:val="00D20C69"/>
    <w:rsid w:val="00D2150A"/>
    <w:rsid w:val="00D233C0"/>
    <w:rsid w:val="00D243EA"/>
    <w:rsid w:val="00D26E9D"/>
    <w:rsid w:val="00D30C92"/>
    <w:rsid w:val="00D32578"/>
    <w:rsid w:val="00D32E5E"/>
    <w:rsid w:val="00D3532A"/>
    <w:rsid w:val="00D4019F"/>
    <w:rsid w:val="00D431B9"/>
    <w:rsid w:val="00D45718"/>
    <w:rsid w:val="00D52DB7"/>
    <w:rsid w:val="00D5465C"/>
    <w:rsid w:val="00D55558"/>
    <w:rsid w:val="00D558B5"/>
    <w:rsid w:val="00D64497"/>
    <w:rsid w:val="00D75B0F"/>
    <w:rsid w:val="00D802E0"/>
    <w:rsid w:val="00D808A0"/>
    <w:rsid w:val="00D80AA3"/>
    <w:rsid w:val="00D80EA1"/>
    <w:rsid w:val="00D81DA2"/>
    <w:rsid w:val="00D8552F"/>
    <w:rsid w:val="00D86FE3"/>
    <w:rsid w:val="00D87200"/>
    <w:rsid w:val="00D87DB7"/>
    <w:rsid w:val="00D9692E"/>
    <w:rsid w:val="00D96EAA"/>
    <w:rsid w:val="00DA3C48"/>
    <w:rsid w:val="00DA3C4B"/>
    <w:rsid w:val="00DA7D41"/>
    <w:rsid w:val="00DB3389"/>
    <w:rsid w:val="00DB7FE3"/>
    <w:rsid w:val="00DC249B"/>
    <w:rsid w:val="00DC6535"/>
    <w:rsid w:val="00DC6A36"/>
    <w:rsid w:val="00DC7BB8"/>
    <w:rsid w:val="00DD2D84"/>
    <w:rsid w:val="00DD6CBC"/>
    <w:rsid w:val="00DD7017"/>
    <w:rsid w:val="00DE2070"/>
    <w:rsid w:val="00DE39B9"/>
    <w:rsid w:val="00DE3E46"/>
    <w:rsid w:val="00DF2329"/>
    <w:rsid w:val="00DF433E"/>
    <w:rsid w:val="00DF48C4"/>
    <w:rsid w:val="00DF64C3"/>
    <w:rsid w:val="00DF7345"/>
    <w:rsid w:val="00E02C34"/>
    <w:rsid w:val="00E04B83"/>
    <w:rsid w:val="00E050CF"/>
    <w:rsid w:val="00E05256"/>
    <w:rsid w:val="00E05F55"/>
    <w:rsid w:val="00E069E4"/>
    <w:rsid w:val="00E1037E"/>
    <w:rsid w:val="00E109E8"/>
    <w:rsid w:val="00E163DF"/>
    <w:rsid w:val="00E2256A"/>
    <w:rsid w:val="00E248F0"/>
    <w:rsid w:val="00E27430"/>
    <w:rsid w:val="00E31FD2"/>
    <w:rsid w:val="00E41038"/>
    <w:rsid w:val="00E423A0"/>
    <w:rsid w:val="00E4357F"/>
    <w:rsid w:val="00E44A66"/>
    <w:rsid w:val="00E4720C"/>
    <w:rsid w:val="00E60118"/>
    <w:rsid w:val="00E67F05"/>
    <w:rsid w:val="00E7129A"/>
    <w:rsid w:val="00E86A4A"/>
    <w:rsid w:val="00E9191E"/>
    <w:rsid w:val="00E91F92"/>
    <w:rsid w:val="00E94BC6"/>
    <w:rsid w:val="00E95AFB"/>
    <w:rsid w:val="00EA7615"/>
    <w:rsid w:val="00EB013E"/>
    <w:rsid w:val="00EB112A"/>
    <w:rsid w:val="00EB1917"/>
    <w:rsid w:val="00EC26B7"/>
    <w:rsid w:val="00EC4CC2"/>
    <w:rsid w:val="00EC609F"/>
    <w:rsid w:val="00EC6111"/>
    <w:rsid w:val="00ED4108"/>
    <w:rsid w:val="00EE7088"/>
    <w:rsid w:val="00EF06C7"/>
    <w:rsid w:val="00EF11A1"/>
    <w:rsid w:val="00EF3BDD"/>
    <w:rsid w:val="00EF573A"/>
    <w:rsid w:val="00F01BED"/>
    <w:rsid w:val="00F07D38"/>
    <w:rsid w:val="00F10A53"/>
    <w:rsid w:val="00F12A87"/>
    <w:rsid w:val="00F14279"/>
    <w:rsid w:val="00F167CA"/>
    <w:rsid w:val="00F207F8"/>
    <w:rsid w:val="00F241DF"/>
    <w:rsid w:val="00F25F64"/>
    <w:rsid w:val="00F328D9"/>
    <w:rsid w:val="00F336A4"/>
    <w:rsid w:val="00F42732"/>
    <w:rsid w:val="00F43B46"/>
    <w:rsid w:val="00F44B5B"/>
    <w:rsid w:val="00F46833"/>
    <w:rsid w:val="00F52279"/>
    <w:rsid w:val="00F6158D"/>
    <w:rsid w:val="00F65B8F"/>
    <w:rsid w:val="00F759EC"/>
    <w:rsid w:val="00F817B5"/>
    <w:rsid w:val="00F843FB"/>
    <w:rsid w:val="00F86872"/>
    <w:rsid w:val="00F9066E"/>
    <w:rsid w:val="00FA02FE"/>
    <w:rsid w:val="00FA03CA"/>
    <w:rsid w:val="00FA579F"/>
    <w:rsid w:val="00FB313F"/>
    <w:rsid w:val="00FB38F6"/>
    <w:rsid w:val="00FB42AB"/>
    <w:rsid w:val="00FB6603"/>
    <w:rsid w:val="00FC3330"/>
    <w:rsid w:val="00FC4BEF"/>
    <w:rsid w:val="00FC78B1"/>
    <w:rsid w:val="00FD1B6D"/>
    <w:rsid w:val="00FD536C"/>
    <w:rsid w:val="00FD7369"/>
    <w:rsid w:val="00FE1BA4"/>
    <w:rsid w:val="00FF1D30"/>
    <w:rsid w:val="00FF49EC"/>
    <w:rsid w:val="00FF579E"/>
    <w:rsid w:val="0F0ED196"/>
    <w:rsid w:val="1EC2756A"/>
    <w:rsid w:val="33A9CDDC"/>
    <w:rsid w:val="6D32FDC5"/>
    <w:rsid w:val="7BCB04B0"/>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Calibri"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0" w:semiHidden="0" w:name="heading 5"/>
    <w:lsdException w:qFormat="1" w:uiPriority="0" w:semiHidden="0" w:name="heading 6"/>
    <w:lsdException w:qFormat="1" w:uiPriority="0" w:semiHidden="0" w:name="heading 7"/>
    <w:lsdException w:qFormat="1" w:uiPriority="0" w:semiHidden="0" w:name="heading 8"/>
    <w:lsdException w:qFormat="1"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nhideWhenUsed="0"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semiHidden="0" w:name="caption"/>
    <w:lsdException w:qFormat="1" w:uiPriority="99" w:semiHidden="0" w:name="table of figures"/>
    <w:lsdException w:uiPriority="99" w:name="envelope address"/>
    <w:lsdException w:uiPriority="99" w:name="envelope return"/>
    <w:lsdException w:qFormat="1" w:unhideWhenUsed="0" w:uiPriority="99" w:name="footnote reference"/>
    <w:lsdException w:qFormat="1"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qFormat="1" w:uiPriority="99"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qFormat="1" w:unhideWhenUsed="0" w:uiPriority="1" w:semiHidden="0" w:name="No Spacing"/>
    <w:lsdException w:qFormat="1" w:unhideWhenUsed="0" w:uiPriority="34" w:semiHidden="0" w:name="List Paragraph"/>
    <w:lsdException w:qFormat="1" w:unhideWhenUsed="0" w:uiPriority="61" w:semiHidden="0" w:name="Light List Accent 6"/>
    <w:lsdException w:unhideWhenUsed="0" w:uiPriority="67" w:semiHidden="0" w:name="Medium Grid 1 Accent 6"/>
  </w:latentStyles>
  <w:style w:type="paragraph" w:default="1" w:styleId="1">
    <w:name w:val="Normal"/>
    <w:qFormat/>
    <w:uiPriority w:val="0"/>
    <w:pPr>
      <w:jc w:val="both"/>
    </w:pPr>
    <w:rPr>
      <w:rFonts w:ascii="Calibri" w:hAnsi="Calibri" w:eastAsia="Times New Roman" w:cs="Arial"/>
      <w:sz w:val="22"/>
      <w:lang w:val="es-CO" w:eastAsia="es-ES" w:bidi="ar-SA"/>
    </w:rPr>
  </w:style>
  <w:style w:type="paragraph" w:styleId="2">
    <w:name w:val="heading 1"/>
    <w:basedOn w:val="1"/>
    <w:next w:val="1"/>
    <w:link w:val="36"/>
    <w:qFormat/>
    <w:uiPriority w:val="9"/>
    <w:pPr>
      <w:numPr>
        <w:ilvl w:val="0"/>
        <w:numId w:val="1"/>
      </w:numPr>
      <w:spacing w:after="200" w:line="480" w:lineRule="auto"/>
      <w:outlineLvl w:val="0"/>
    </w:pPr>
    <w:rPr>
      <w:rFonts w:eastAsia="Calibri"/>
      <w:b/>
      <w:color w:val="262626"/>
      <w:szCs w:val="24"/>
      <w:lang w:eastAsia="en-US"/>
    </w:rPr>
  </w:style>
  <w:style w:type="paragraph" w:styleId="3">
    <w:name w:val="heading 2"/>
    <w:basedOn w:val="1"/>
    <w:next w:val="1"/>
    <w:link w:val="37"/>
    <w:unhideWhenUsed/>
    <w:qFormat/>
    <w:uiPriority w:val="9"/>
    <w:pPr>
      <w:numPr>
        <w:ilvl w:val="1"/>
        <w:numId w:val="1"/>
      </w:numPr>
      <w:spacing w:after="200"/>
      <w:outlineLvl w:val="1"/>
    </w:pPr>
    <w:rPr>
      <w:rFonts w:eastAsia="Calibri"/>
      <w:b/>
      <w:color w:val="262626"/>
      <w:szCs w:val="24"/>
      <w:lang w:eastAsia="en-US"/>
    </w:rPr>
  </w:style>
  <w:style w:type="paragraph" w:styleId="4">
    <w:name w:val="heading 3"/>
    <w:basedOn w:val="1"/>
    <w:next w:val="1"/>
    <w:link w:val="38"/>
    <w:unhideWhenUsed/>
    <w:qFormat/>
    <w:uiPriority w:val="9"/>
    <w:pPr>
      <w:keepNext/>
      <w:keepLines/>
      <w:numPr>
        <w:ilvl w:val="2"/>
        <w:numId w:val="1"/>
      </w:numPr>
      <w:spacing w:before="200" w:line="276" w:lineRule="auto"/>
      <w:outlineLvl w:val="2"/>
    </w:pPr>
    <w:rPr>
      <w:rFonts w:cs="Times New Roman"/>
      <w:b/>
      <w:bCs/>
      <w:szCs w:val="22"/>
      <w:lang w:eastAsia="es-CO"/>
    </w:rPr>
  </w:style>
  <w:style w:type="paragraph" w:styleId="5">
    <w:name w:val="heading 4"/>
    <w:basedOn w:val="1"/>
    <w:next w:val="1"/>
    <w:link w:val="39"/>
    <w:unhideWhenUsed/>
    <w:qFormat/>
    <w:uiPriority w:val="9"/>
    <w:pPr>
      <w:keepNext/>
      <w:keepLines/>
      <w:numPr>
        <w:ilvl w:val="3"/>
        <w:numId w:val="1"/>
      </w:numPr>
      <w:spacing w:before="200" w:line="276" w:lineRule="auto"/>
      <w:outlineLvl w:val="3"/>
    </w:pPr>
    <w:rPr>
      <w:rFonts w:cs="Times New Roman"/>
      <w:b/>
      <w:bCs/>
      <w:iCs/>
      <w:szCs w:val="22"/>
      <w:lang w:eastAsia="es-CO"/>
    </w:rPr>
  </w:style>
  <w:style w:type="paragraph" w:styleId="6">
    <w:name w:val="heading 5"/>
    <w:basedOn w:val="1"/>
    <w:next w:val="1"/>
    <w:link w:val="40"/>
    <w:unhideWhenUsed/>
    <w:qFormat/>
    <w:uiPriority w:val="0"/>
    <w:pPr>
      <w:keepNext/>
      <w:keepLines/>
      <w:numPr>
        <w:ilvl w:val="4"/>
        <w:numId w:val="1"/>
      </w:numPr>
      <w:spacing w:before="200" w:line="276" w:lineRule="auto"/>
      <w:outlineLvl w:val="4"/>
    </w:pPr>
    <w:rPr>
      <w:rFonts w:ascii="Cambria" w:hAnsi="Cambria" w:cs="Times New Roman"/>
      <w:color w:val="243F60"/>
      <w:szCs w:val="22"/>
      <w:lang w:eastAsia="es-CO"/>
    </w:rPr>
  </w:style>
  <w:style w:type="paragraph" w:styleId="7">
    <w:name w:val="heading 6"/>
    <w:basedOn w:val="1"/>
    <w:next w:val="1"/>
    <w:link w:val="41"/>
    <w:unhideWhenUsed/>
    <w:qFormat/>
    <w:uiPriority w:val="0"/>
    <w:pPr>
      <w:keepNext/>
      <w:keepLines/>
      <w:numPr>
        <w:ilvl w:val="5"/>
        <w:numId w:val="1"/>
      </w:numPr>
      <w:spacing w:before="200" w:line="276" w:lineRule="auto"/>
      <w:outlineLvl w:val="5"/>
    </w:pPr>
    <w:rPr>
      <w:rFonts w:ascii="Cambria" w:hAnsi="Cambria" w:cs="Times New Roman"/>
      <w:i/>
      <w:iCs/>
      <w:color w:val="243F60"/>
      <w:szCs w:val="22"/>
      <w:lang w:eastAsia="es-CO"/>
    </w:rPr>
  </w:style>
  <w:style w:type="paragraph" w:styleId="8">
    <w:name w:val="heading 7"/>
    <w:basedOn w:val="1"/>
    <w:next w:val="1"/>
    <w:link w:val="42"/>
    <w:unhideWhenUsed/>
    <w:qFormat/>
    <w:uiPriority w:val="0"/>
    <w:pPr>
      <w:keepNext/>
      <w:keepLines/>
      <w:numPr>
        <w:ilvl w:val="6"/>
        <w:numId w:val="1"/>
      </w:numPr>
      <w:spacing w:before="200" w:line="276" w:lineRule="auto"/>
      <w:outlineLvl w:val="6"/>
    </w:pPr>
    <w:rPr>
      <w:rFonts w:ascii="Cambria" w:hAnsi="Cambria" w:cs="Times New Roman"/>
      <w:i/>
      <w:iCs/>
      <w:color w:val="404040"/>
      <w:szCs w:val="22"/>
      <w:lang w:eastAsia="es-CO"/>
    </w:rPr>
  </w:style>
  <w:style w:type="paragraph" w:styleId="9">
    <w:name w:val="heading 8"/>
    <w:basedOn w:val="1"/>
    <w:next w:val="1"/>
    <w:link w:val="43"/>
    <w:unhideWhenUsed/>
    <w:qFormat/>
    <w:uiPriority w:val="0"/>
    <w:pPr>
      <w:keepNext/>
      <w:keepLines/>
      <w:numPr>
        <w:ilvl w:val="7"/>
        <w:numId w:val="1"/>
      </w:numPr>
      <w:spacing w:before="200" w:line="276" w:lineRule="auto"/>
      <w:outlineLvl w:val="7"/>
    </w:pPr>
    <w:rPr>
      <w:rFonts w:ascii="Cambria" w:hAnsi="Cambria" w:cs="Times New Roman"/>
      <w:color w:val="404040"/>
      <w:sz w:val="20"/>
      <w:lang w:eastAsia="es-CO"/>
    </w:rPr>
  </w:style>
  <w:style w:type="paragraph" w:styleId="10">
    <w:name w:val="heading 9"/>
    <w:basedOn w:val="1"/>
    <w:next w:val="1"/>
    <w:link w:val="44"/>
    <w:unhideWhenUsed/>
    <w:qFormat/>
    <w:uiPriority w:val="0"/>
    <w:pPr>
      <w:keepNext/>
      <w:keepLines/>
      <w:numPr>
        <w:ilvl w:val="8"/>
        <w:numId w:val="1"/>
      </w:numPr>
      <w:spacing w:before="200" w:line="276" w:lineRule="auto"/>
      <w:outlineLvl w:val="8"/>
    </w:pPr>
    <w:rPr>
      <w:rFonts w:ascii="Cambria" w:hAnsi="Cambria" w:cs="Times New Roman"/>
      <w:i/>
      <w:iCs/>
      <w:color w:val="404040"/>
      <w:sz w:val="20"/>
      <w:lang w:eastAsia="es-CO"/>
    </w:rPr>
  </w:style>
  <w:style w:type="character" w:default="1" w:styleId="11">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character" w:styleId="13">
    <w:name w:val="annotation reference"/>
    <w:unhideWhenUsed/>
    <w:qFormat/>
    <w:uiPriority w:val="99"/>
    <w:rPr>
      <w:sz w:val="16"/>
      <w:szCs w:val="16"/>
    </w:rPr>
  </w:style>
  <w:style w:type="character" w:styleId="14">
    <w:name w:val="footnote reference"/>
    <w:semiHidden/>
    <w:qFormat/>
    <w:uiPriority w:val="99"/>
    <w:rPr>
      <w:vertAlign w:val="superscript"/>
    </w:rPr>
  </w:style>
  <w:style w:type="character" w:styleId="15">
    <w:name w:val="Emphasis"/>
    <w:qFormat/>
    <w:uiPriority w:val="20"/>
    <w:rPr>
      <w:i/>
      <w:iCs/>
    </w:rPr>
  </w:style>
  <w:style w:type="character" w:styleId="16">
    <w:name w:val="Hyperlink"/>
    <w:unhideWhenUsed/>
    <w:qFormat/>
    <w:uiPriority w:val="99"/>
    <w:rPr>
      <w:color w:val="0000FF"/>
      <w:u w:val="single"/>
    </w:rPr>
  </w:style>
  <w:style w:type="character" w:styleId="17">
    <w:name w:val="FollowedHyperlink"/>
    <w:semiHidden/>
    <w:unhideWhenUsed/>
    <w:qFormat/>
    <w:uiPriority w:val="99"/>
    <w:rPr>
      <w:color w:val="800080"/>
      <w:u w:val="single"/>
    </w:rPr>
  </w:style>
  <w:style w:type="character" w:styleId="18">
    <w:name w:val="Strong"/>
    <w:qFormat/>
    <w:uiPriority w:val="22"/>
    <w:rPr>
      <w:b/>
      <w:bCs/>
    </w:rPr>
  </w:style>
  <w:style w:type="paragraph" w:styleId="19">
    <w:name w:val="toc 3"/>
    <w:basedOn w:val="1"/>
    <w:next w:val="1"/>
    <w:autoRedefine/>
    <w:unhideWhenUsed/>
    <w:qFormat/>
    <w:uiPriority w:val="39"/>
    <w:pPr>
      <w:spacing w:after="100" w:line="276" w:lineRule="auto"/>
      <w:ind w:left="440"/>
    </w:pPr>
    <w:rPr>
      <w:rFonts w:eastAsia="Calibri" w:cs="Times New Roman"/>
      <w:szCs w:val="22"/>
      <w:lang w:eastAsia="en-US"/>
    </w:rPr>
  </w:style>
  <w:style w:type="paragraph" w:styleId="20">
    <w:name w:val="footnote text"/>
    <w:basedOn w:val="1"/>
    <w:link w:val="59"/>
    <w:semiHidden/>
    <w:qFormat/>
    <w:uiPriority w:val="99"/>
    <w:rPr>
      <w:rFonts w:ascii="Times New Roman" w:hAnsi="Times New Roman" w:cs="Times New Roman"/>
      <w:sz w:val="20"/>
      <w:lang w:val="es-ES"/>
    </w:rPr>
  </w:style>
  <w:style w:type="paragraph" w:styleId="21">
    <w:name w:val="caption"/>
    <w:basedOn w:val="1"/>
    <w:next w:val="1"/>
    <w:unhideWhenUsed/>
    <w:qFormat/>
    <w:uiPriority w:val="35"/>
    <w:pPr>
      <w:spacing w:after="200"/>
    </w:pPr>
    <w:rPr>
      <w:rFonts w:eastAsia="Calibri" w:cs="Times New Roman"/>
      <w:b/>
      <w:bCs/>
      <w:color w:val="4F81BD"/>
      <w:sz w:val="18"/>
      <w:szCs w:val="18"/>
      <w:lang w:eastAsia="en-US"/>
    </w:rPr>
  </w:style>
  <w:style w:type="paragraph" w:styleId="22">
    <w:name w:val="toc 1"/>
    <w:basedOn w:val="1"/>
    <w:next w:val="1"/>
    <w:autoRedefine/>
    <w:unhideWhenUsed/>
    <w:qFormat/>
    <w:uiPriority w:val="39"/>
    <w:pPr>
      <w:tabs>
        <w:tab w:val="left" w:pos="440"/>
        <w:tab w:val="right" w:leader="dot" w:pos="9639"/>
      </w:tabs>
      <w:spacing w:after="100" w:line="259" w:lineRule="auto"/>
    </w:pPr>
    <w:rPr>
      <w:rFonts w:eastAsia="Calibri" w:cs="Times New Roman"/>
      <w:b/>
      <w:szCs w:val="22"/>
      <w:lang w:eastAsia="en-US"/>
    </w:rPr>
  </w:style>
  <w:style w:type="paragraph" w:styleId="23">
    <w:name w:val="toc 2"/>
    <w:basedOn w:val="1"/>
    <w:next w:val="1"/>
    <w:autoRedefine/>
    <w:unhideWhenUsed/>
    <w:qFormat/>
    <w:uiPriority w:val="39"/>
    <w:pPr>
      <w:spacing w:after="100" w:line="259" w:lineRule="auto"/>
      <w:ind w:left="220"/>
    </w:pPr>
    <w:rPr>
      <w:rFonts w:eastAsia="Calibri" w:cs="Times New Roman"/>
      <w:szCs w:val="22"/>
      <w:lang w:eastAsia="en-US"/>
    </w:rPr>
  </w:style>
  <w:style w:type="paragraph" w:styleId="24">
    <w:name w:val="annotation subject"/>
    <w:basedOn w:val="25"/>
    <w:next w:val="25"/>
    <w:link w:val="64"/>
    <w:semiHidden/>
    <w:unhideWhenUsed/>
    <w:qFormat/>
    <w:uiPriority w:val="99"/>
    <w:rPr>
      <w:b/>
      <w:bCs/>
    </w:rPr>
  </w:style>
  <w:style w:type="paragraph" w:styleId="25">
    <w:name w:val="annotation text"/>
    <w:basedOn w:val="1"/>
    <w:link w:val="63"/>
    <w:unhideWhenUsed/>
    <w:qFormat/>
    <w:uiPriority w:val="99"/>
    <w:pPr>
      <w:spacing w:after="160"/>
    </w:pPr>
    <w:rPr>
      <w:rFonts w:eastAsia="Calibri" w:cs="Times New Roman"/>
      <w:sz w:val="20"/>
      <w:lang w:eastAsia="en-US"/>
    </w:rPr>
  </w:style>
  <w:style w:type="paragraph" w:styleId="26">
    <w:name w:val="Balloon Text"/>
    <w:basedOn w:val="1"/>
    <w:link w:val="47"/>
    <w:semiHidden/>
    <w:unhideWhenUsed/>
    <w:qFormat/>
    <w:uiPriority w:val="99"/>
    <w:rPr>
      <w:rFonts w:ascii="Tahoma" w:hAnsi="Tahoma" w:eastAsia="Calibri" w:cs="Tahoma"/>
      <w:sz w:val="16"/>
      <w:szCs w:val="16"/>
      <w:lang w:val="es-ES" w:eastAsia="en-US"/>
    </w:rPr>
  </w:style>
  <w:style w:type="paragraph" w:styleId="27">
    <w:name w:val="table of figures"/>
    <w:basedOn w:val="1"/>
    <w:next w:val="1"/>
    <w:unhideWhenUsed/>
    <w:qFormat/>
    <w:uiPriority w:val="99"/>
  </w:style>
  <w:style w:type="paragraph" w:styleId="28">
    <w:name w:val="header"/>
    <w:basedOn w:val="1"/>
    <w:link w:val="45"/>
    <w:unhideWhenUsed/>
    <w:qFormat/>
    <w:uiPriority w:val="99"/>
    <w:pPr>
      <w:tabs>
        <w:tab w:val="center" w:pos="4513"/>
        <w:tab w:val="right" w:pos="9026"/>
      </w:tabs>
    </w:pPr>
    <w:rPr>
      <w:rFonts w:eastAsia="Calibri" w:cs="Times New Roman"/>
      <w:szCs w:val="22"/>
      <w:lang w:val="es-ES" w:eastAsia="en-US"/>
    </w:rPr>
  </w:style>
  <w:style w:type="paragraph" w:styleId="29">
    <w:name w:val="List Bullet"/>
    <w:basedOn w:val="1"/>
    <w:unhideWhenUsed/>
    <w:qFormat/>
    <w:uiPriority w:val="99"/>
    <w:pPr>
      <w:numPr>
        <w:ilvl w:val="0"/>
        <w:numId w:val="2"/>
      </w:numPr>
      <w:spacing w:after="200" w:line="276" w:lineRule="auto"/>
      <w:contextualSpacing/>
      <w:jc w:val="left"/>
    </w:pPr>
    <w:rPr>
      <w:rFonts w:eastAsia="Calibri" w:cs="Calibri"/>
      <w:szCs w:val="22"/>
      <w:lang w:eastAsia="es-MX"/>
    </w:rPr>
  </w:style>
  <w:style w:type="paragraph" w:styleId="30">
    <w:name w:val="Normal (Web)"/>
    <w:basedOn w:val="1"/>
    <w:qFormat/>
    <w:uiPriority w:val="99"/>
    <w:pPr>
      <w:spacing w:before="100" w:beforeAutospacing="1" w:after="100" w:afterAutospacing="1"/>
    </w:pPr>
    <w:rPr>
      <w:rFonts w:ascii="Times New Roman" w:hAnsi="Times New Roman" w:cs="Times New Roman"/>
      <w:szCs w:val="24"/>
    </w:rPr>
  </w:style>
  <w:style w:type="paragraph" w:styleId="31">
    <w:name w:val="footer"/>
    <w:basedOn w:val="1"/>
    <w:link w:val="46"/>
    <w:unhideWhenUsed/>
    <w:qFormat/>
    <w:uiPriority w:val="99"/>
    <w:pPr>
      <w:tabs>
        <w:tab w:val="center" w:pos="4513"/>
        <w:tab w:val="right" w:pos="9026"/>
      </w:tabs>
    </w:pPr>
    <w:rPr>
      <w:rFonts w:eastAsia="Calibri" w:cs="Times New Roman"/>
      <w:szCs w:val="22"/>
      <w:lang w:val="es-ES" w:eastAsia="en-US"/>
    </w:rPr>
  </w:style>
  <w:style w:type="paragraph" w:styleId="32">
    <w:name w:val="Subtitle"/>
    <w:basedOn w:val="1"/>
    <w:next w:val="1"/>
    <w:link w:val="66"/>
    <w:qFormat/>
    <w:uiPriority w:val="11"/>
    <w:pPr>
      <w:spacing w:after="160" w:line="276" w:lineRule="auto"/>
    </w:pPr>
    <w:rPr>
      <w:rFonts w:cs="Times New Roman"/>
      <w:color w:val="5A5A5A"/>
      <w:spacing w:val="15"/>
      <w:szCs w:val="22"/>
      <w:lang w:eastAsia="en-US"/>
    </w:rPr>
  </w:style>
  <w:style w:type="paragraph" w:styleId="33">
    <w:name w:val="Body Text"/>
    <w:basedOn w:val="1"/>
    <w:link w:val="58"/>
    <w:qFormat/>
    <w:uiPriority w:val="0"/>
    <w:pPr>
      <w:spacing w:after="120"/>
    </w:pPr>
    <w:rPr>
      <w:rFonts w:ascii="Times New Roman" w:hAnsi="Times New Roman" w:cs="Times New Roman"/>
      <w:szCs w:val="24"/>
      <w:lang w:val="es-ES"/>
    </w:rPr>
  </w:style>
  <w:style w:type="paragraph" w:styleId="34">
    <w:name w:val="Title"/>
    <w:basedOn w:val="1"/>
    <w:next w:val="1"/>
    <w:link w:val="65"/>
    <w:qFormat/>
    <w:uiPriority w:val="10"/>
    <w:pPr>
      <w:contextualSpacing/>
    </w:pPr>
    <w:rPr>
      <w:rFonts w:ascii="Cambria" w:hAnsi="Cambria" w:cs="Times New Roman"/>
      <w:spacing w:val="-10"/>
      <w:kern w:val="28"/>
      <w:sz w:val="56"/>
      <w:szCs w:val="56"/>
      <w:lang w:eastAsia="en-US"/>
    </w:rPr>
  </w:style>
  <w:style w:type="table" w:styleId="35">
    <w:name w:val="Table Grid"/>
    <w:basedOn w:val="12"/>
    <w:qFormat/>
    <w:uiPriority w:val="59"/>
    <w:rPr>
      <w:lang w:val="es-C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6">
    <w:name w:val="Título 1 Car"/>
    <w:link w:val="2"/>
    <w:qFormat/>
    <w:uiPriority w:val="9"/>
    <w:rPr>
      <w:rFonts w:cs="Arial"/>
      <w:b/>
      <w:color w:val="262626"/>
      <w:sz w:val="22"/>
      <w:szCs w:val="24"/>
      <w:lang w:val="es-CO" w:eastAsia="en-US"/>
    </w:rPr>
  </w:style>
  <w:style w:type="character" w:customStyle="1" w:styleId="37">
    <w:name w:val="Título 2 Car"/>
    <w:link w:val="3"/>
    <w:qFormat/>
    <w:uiPriority w:val="9"/>
    <w:rPr>
      <w:rFonts w:cs="Arial"/>
      <w:b/>
      <w:color w:val="262626"/>
      <w:sz w:val="22"/>
      <w:szCs w:val="24"/>
      <w:lang w:val="es-CO" w:eastAsia="en-US"/>
    </w:rPr>
  </w:style>
  <w:style w:type="character" w:customStyle="1" w:styleId="38">
    <w:name w:val="Título 3 Car"/>
    <w:link w:val="4"/>
    <w:qFormat/>
    <w:uiPriority w:val="9"/>
    <w:rPr>
      <w:rFonts w:eastAsia="Times New Roman"/>
      <w:b/>
      <w:bCs/>
      <w:sz w:val="22"/>
      <w:szCs w:val="22"/>
      <w:lang w:val="es-CO" w:eastAsia="es-CO"/>
    </w:rPr>
  </w:style>
  <w:style w:type="character" w:customStyle="1" w:styleId="39">
    <w:name w:val="Título 4 Car"/>
    <w:link w:val="5"/>
    <w:qFormat/>
    <w:uiPriority w:val="9"/>
    <w:rPr>
      <w:rFonts w:eastAsia="Times New Roman"/>
      <w:b/>
      <w:bCs/>
      <w:iCs/>
      <w:sz w:val="22"/>
      <w:szCs w:val="22"/>
      <w:lang w:val="es-CO" w:eastAsia="es-CO"/>
    </w:rPr>
  </w:style>
  <w:style w:type="character" w:customStyle="1" w:styleId="40">
    <w:name w:val="Título 5 Car"/>
    <w:link w:val="6"/>
    <w:qFormat/>
    <w:uiPriority w:val="0"/>
    <w:rPr>
      <w:rFonts w:ascii="Cambria" w:hAnsi="Cambria" w:eastAsia="Times New Roman"/>
      <w:color w:val="243F60"/>
      <w:sz w:val="22"/>
      <w:szCs w:val="22"/>
      <w:lang w:val="es-CO" w:eastAsia="es-CO"/>
    </w:rPr>
  </w:style>
  <w:style w:type="character" w:customStyle="1" w:styleId="41">
    <w:name w:val="Título 6 Car"/>
    <w:link w:val="7"/>
    <w:qFormat/>
    <w:uiPriority w:val="0"/>
    <w:rPr>
      <w:rFonts w:ascii="Cambria" w:hAnsi="Cambria" w:eastAsia="Times New Roman"/>
      <w:i/>
      <w:iCs/>
      <w:color w:val="243F60"/>
      <w:sz w:val="22"/>
      <w:szCs w:val="22"/>
      <w:lang w:val="es-CO" w:eastAsia="es-CO"/>
    </w:rPr>
  </w:style>
  <w:style w:type="character" w:customStyle="1" w:styleId="42">
    <w:name w:val="Título 7 Car"/>
    <w:link w:val="8"/>
    <w:qFormat/>
    <w:uiPriority w:val="0"/>
    <w:rPr>
      <w:rFonts w:ascii="Cambria" w:hAnsi="Cambria" w:eastAsia="Times New Roman"/>
      <w:i/>
      <w:iCs/>
      <w:color w:val="404040"/>
      <w:sz w:val="22"/>
      <w:szCs w:val="22"/>
      <w:lang w:val="es-CO" w:eastAsia="es-CO"/>
    </w:rPr>
  </w:style>
  <w:style w:type="character" w:customStyle="1" w:styleId="43">
    <w:name w:val="Título 8 Car"/>
    <w:link w:val="9"/>
    <w:qFormat/>
    <w:uiPriority w:val="0"/>
    <w:rPr>
      <w:rFonts w:ascii="Cambria" w:hAnsi="Cambria" w:eastAsia="Times New Roman"/>
      <w:color w:val="404040"/>
      <w:lang w:val="es-CO" w:eastAsia="es-CO"/>
    </w:rPr>
  </w:style>
  <w:style w:type="character" w:customStyle="1" w:styleId="44">
    <w:name w:val="Título 9 Car"/>
    <w:link w:val="10"/>
    <w:qFormat/>
    <w:uiPriority w:val="0"/>
    <w:rPr>
      <w:rFonts w:ascii="Cambria" w:hAnsi="Cambria" w:eastAsia="Times New Roman"/>
      <w:i/>
      <w:iCs/>
      <w:color w:val="404040"/>
      <w:lang w:val="es-CO" w:eastAsia="es-CO"/>
    </w:rPr>
  </w:style>
  <w:style w:type="character" w:customStyle="1" w:styleId="45">
    <w:name w:val="Encabezado Car"/>
    <w:basedOn w:val="11"/>
    <w:link w:val="28"/>
    <w:qFormat/>
    <w:uiPriority w:val="99"/>
  </w:style>
  <w:style w:type="character" w:customStyle="1" w:styleId="46">
    <w:name w:val="Pie de página Car"/>
    <w:basedOn w:val="11"/>
    <w:link w:val="31"/>
    <w:qFormat/>
    <w:uiPriority w:val="99"/>
  </w:style>
  <w:style w:type="character" w:customStyle="1" w:styleId="47">
    <w:name w:val="Texto de globo Car"/>
    <w:link w:val="26"/>
    <w:semiHidden/>
    <w:qFormat/>
    <w:uiPriority w:val="99"/>
    <w:rPr>
      <w:rFonts w:ascii="Tahoma" w:hAnsi="Tahoma" w:cs="Tahoma"/>
      <w:sz w:val="16"/>
      <w:szCs w:val="16"/>
    </w:rPr>
  </w:style>
  <w:style w:type="paragraph" w:customStyle="1" w:styleId="48">
    <w:name w:val="Revision"/>
    <w:hidden/>
    <w:semiHidden/>
    <w:qFormat/>
    <w:uiPriority w:val="99"/>
    <w:rPr>
      <w:rFonts w:ascii="Arial" w:hAnsi="Arial" w:eastAsia="Times New Roman" w:cs="Arial"/>
      <w:sz w:val="24"/>
      <w:lang w:val="es-CO" w:eastAsia="es-ES" w:bidi="ar-SA"/>
    </w:rPr>
  </w:style>
  <w:style w:type="paragraph" w:customStyle="1" w:styleId="49">
    <w:name w:val="Lista multicolor - Énfasis 11"/>
    <w:basedOn w:val="1"/>
    <w:qFormat/>
    <w:uiPriority w:val="34"/>
    <w:pPr>
      <w:spacing w:after="200" w:line="276" w:lineRule="auto"/>
      <w:ind w:left="720"/>
      <w:contextualSpacing/>
    </w:pPr>
    <w:rPr>
      <w:rFonts w:eastAsia="Calibri" w:cs="Times New Roman"/>
      <w:szCs w:val="22"/>
      <w:lang w:eastAsia="en-US"/>
    </w:rPr>
  </w:style>
  <w:style w:type="character" w:customStyle="1" w:styleId="50">
    <w:name w:val="Encabezado Car1"/>
    <w:qFormat/>
    <w:uiPriority w:val="0"/>
    <w:rPr>
      <w:rFonts w:ascii="Calibri" w:hAnsi="Calibri" w:eastAsia="Calibri"/>
      <w:sz w:val="22"/>
      <w:szCs w:val="22"/>
      <w:lang w:eastAsia="ar-SA"/>
    </w:rPr>
  </w:style>
  <w:style w:type="paragraph" w:styleId="51">
    <w:name w:val="List Paragraph"/>
    <w:basedOn w:val="1"/>
    <w:link w:val="52"/>
    <w:qFormat/>
    <w:uiPriority w:val="34"/>
    <w:pPr>
      <w:spacing w:after="160" w:line="259" w:lineRule="auto"/>
      <w:ind w:left="720"/>
      <w:contextualSpacing/>
    </w:pPr>
    <w:rPr>
      <w:rFonts w:eastAsia="Calibri" w:cs="Times New Roman"/>
      <w:szCs w:val="22"/>
      <w:lang w:eastAsia="en-US"/>
    </w:rPr>
  </w:style>
  <w:style w:type="character" w:customStyle="1" w:styleId="52">
    <w:name w:val="Párrafo de lista Car"/>
    <w:link w:val="51"/>
    <w:qFormat/>
    <w:locked/>
    <w:uiPriority w:val="34"/>
    <w:rPr>
      <w:lang w:val="es-CO"/>
    </w:rPr>
  </w:style>
  <w:style w:type="paragraph" w:customStyle="1" w:styleId="53">
    <w:name w:val="Default"/>
    <w:qFormat/>
    <w:uiPriority w:val="0"/>
    <w:pPr>
      <w:autoSpaceDE w:val="0"/>
      <w:autoSpaceDN w:val="0"/>
      <w:adjustRightInd w:val="0"/>
    </w:pPr>
    <w:rPr>
      <w:rFonts w:ascii="Arial" w:hAnsi="Arial" w:eastAsia="Calibri" w:cs="Arial"/>
      <w:color w:val="000000"/>
      <w:sz w:val="24"/>
      <w:szCs w:val="24"/>
      <w:lang w:val="es-CO" w:eastAsia="en-US" w:bidi="ar-SA"/>
    </w:rPr>
  </w:style>
  <w:style w:type="table" w:customStyle="1" w:styleId="54">
    <w:name w:val="Tabla de cuadrícula 6 con colores - Énfasis 11"/>
    <w:basedOn w:val="12"/>
    <w:qFormat/>
    <w:uiPriority w:val="51"/>
    <w:rPr>
      <w:color w:val="365F91"/>
      <w:lang w:val="es-CO"/>
    </w:rPr>
    <w:tblPr>
      <w:tblBorders>
        <w:top w:val="single" w:color="95B3D7" w:sz="4" w:space="0"/>
        <w:left w:val="single" w:color="95B3D7" w:sz="4" w:space="0"/>
        <w:bottom w:val="single" w:color="95B3D7" w:sz="4" w:space="0"/>
        <w:right w:val="single" w:color="95B3D7" w:sz="4" w:space="0"/>
        <w:insideH w:val="single" w:color="95B3D7" w:sz="4" w:space="0"/>
        <w:insideV w:val="single" w:color="95B3D7" w:sz="4" w:space="0"/>
      </w:tblBorders>
    </w:tblPr>
    <w:tblStylePr w:type="firstRow">
      <w:rPr>
        <w:b/>
        <w:bCs/>
      </w:rPr>
      <w:tcPr>
        <w:tcBorders>
          <w:bottom w:val="single" w:color="95B3D7" w:sz="12" w:space="0"/>
        </w:tcBorders>
      </w:tcPr>
    </w:tblStylePr>
    <w:tblStylePr w:type="lastRow">
      <w:rPr>
        <w:b/>
        <w:bCs/>
      </w:rPr>
      <w:tcPr>
        <w:tcBorders>
          <w:top w:val="double" w:color="95B3D7" w:sz="4" w:space="0"/>
        </w:tcBorders>
      </w:tcPr>
    </w:tblStylePr>
    <w:tblStylePr w:type="firstCol">
      <w:rPr>
        <w:b/>
        <w:bCs/>
      </w:rPr>
    </w:tblStylePr>
    <w:tblStylePr w:type="lastCol">
      <w:rPr>
        <w:b/>
        <w:bCs/>
      </w:rPr>
    </w:tblStylePr>
    <w:tblStylePr w:type="band1Vert">
      <w:tcPr>
        <w:shd w:val="clear" w:color="auto" w:fill="DBE5F1"/>
      </w:tcPr>
    </w:tblStylePr>
    <w:tblStylePr w:type="band1Horz">
      <w:tcPr>
        <w:shd w:val="clear" w:color="auto" w:fill="DBE5F1"/>
      </w:tcPr>
    </w:tblStylePr>
  </w:style>
  <w:style w:type="paragraph" w:customStyle="1" w:styleId="55">
    <w:name w:val="TOC Heading"/>
    <w:basedOn w:val="2"/>
    <w:next w:val="1"/>
    <w:unhideWhenUsed/>
    <w:qFormat/>
    <w:uiPriority w:val="39"/>
    <w:pPr>
      <w:keepNext/>
      <w:keepLines/>
      <w:spacing w:before="240" w:after="0" w:line="259" w:lineRule="auto"/>
      <w:jc w:val="left"/>
      <w:outlineLvl w:val="9"/>
    </w:pPr>
    <w:rPr>
      <w:rFonts w:ascii="Cambria" w:hAnsi="Cambria" w:eastAsia="Times New Roman" w:cs="Times New Roman"/>
      <w:b w:val="0"/>
      <w:color w:val="365F91"/>
      <w:sz w:val="32"/>
      <w:szCs w:val="32"/>
      <w:lang w:eastAsia="es-CO"/>
    </w:rPr>
  </w:style>
  <w:style w:type="paragraph" w:styleId="56">
    <w:name w:val="No Spacing"/>
    <w:link w:val="57"/>
    <w:qFormat/>
    <w:uiPriority w:val="1"/>
    <w:rPr>
      <w:rFonts w:ascii="Calibri" w:hAnsi="Calibri" w:eastAsia="Times New Roman" w:cs="Times New Roman"/>
      <w:sz w:val="22"/>
      <w:szCs w:val="22"/>
      <w:lang w:val="es-CO" w:eastAsia="es-CO" w:bidi="ar-SA"/>
    </w:rPr>
  </w:style>
  <w:style w:type="character" w:customStyle="1" w:styleId="57">
    <w:name w:val="Sin espaciado Car"/>
    <w:link w:val="56"/>
    <w:qFormat/>
    <w:uiPriority w:val="1"/>
    <w:rPr>
      <w:rFonts w:eastAsia="Times New Roman"/>
      <w:lang w:val="es-CO" w:eastAsia="es-CO"/>
    </w:rPr>
  </w:style>
  <w:style w:type="character" w:customStyle="1" w:styleId="58">
    <w:name w:val="Texto independiente Car"/>
    <w:link w:val="33"/>
    <w:qFormat/>
    <w:uiPriority w:val="0"/>
    <w:rPr>
      <w:rFonts w:ascii="Times New Roman" w:hAnsi="Times New Roman" w:eastAsia="Times New Roman" w:cs="Times New Roman"/>
      <w:sz w:val="24"/>
      <w:szCs w:val="24"/>
      <w:lang w:eastAsia="es-ES"/>
    </w:rPr>
  </w:style>
  <w:style w:type="character" w:customStyle="1" w:styleId="59">
    <w:name w:val="Texto nota pie Car"/>
    <w:link w:val="20"/>
    <w:semiHidden/>
    <w:qFormat/>
    <w:uiPriority w:val="99"/>
    <w:rPr>
      <w:rFonts w:ascii="Times New Roman" w:hAnsi="Times New Roman" w:eastAsia="Times New Roman" w:cs="Times New Roman"/>
      <w:sz w:val="20"/>
      <w:szCs w:val="20"/>
      <w:lang w:eastAsia="es-ES"/>
    </w:rPr>
  </w:style>
  <w:style w:type="character" w:customStyle="1" w:styleId="60">
    <w:name w:val="apple-converted-space"/>
    <w:qFormat/>
    <w:uiPriority w:val="0"/>
  </w:style>
  <w:style w:type="paragraph" w:customStyle="1" w:styleId="61">
    <w:name w:val="Bibliography"/>
    <w:basedOn w:val="1"/>
    <w:next w:val="1"/>
    <w:unhideWhenUsed/>
    <w:qFormat/>
    <w:uiPriority w:val="37"/>
    <w:pPr>
      <w:spacing w:after="160" w:line="259" w:lineRule="auto"/>
    </w:pPr>
    <w:rPr>
      <w:rFonts w:eastAsia="Calibri" w:cs="Times New Roman"/>
      <w:szCs w:val="22"/>
      <w:lang w:eastAsia="en-US"/>
    </w:rPr>
  </w:style>
  <w:style w:type="paragraph" w:customStyle="1" w:styleId="62">
    <w:name w:val="style35"/>
    <w:basedOn w:val="1"/>
    <w:qFormat/>
    <w:uiPriority w:val="0"/>
    <w:pPr>
      <w:spacing w:before="100" w:beforeAutospacing="1" w:after="100" w:afterAutospacing="1"/>
    </w:pPr>
    <w:rPr>
      <w:rFonts w:ascii="Times New Roman" w:hAnsi="Times New Roman" w:cs="Times New Roman"/>
      <w:szCs w:val="24"/>
      <w:lang w:val="es-ES"/>
    </w:rPr>
  </w:style>
  <w:style w:type="character" w:customStyle="1" w:styleId="63">
    <w:name w:val="Texto comentario Car"/>
    <w:link w:val="25"/>
    <w:qFormat/>
    <w:uiPriority w:val="99"/>
    <w:rPr>
      <w:sz w:val="20"/>
      <w:szCs w:val="20"/>
      <w:lang w:val="es-CO"/>
    </w:rPr>
  </w:style>
  <w:style w:type="character" w:customStyle="1" w:styleId="64">
    <w:name w:val="Asunto del comentario Car"/>
    <w:link w:val="24"/>
    <w:semiHidden/>
    <w:qFormat/>
    <w:uiPriority w:val="99"/>
    <w:rPr>
      <w:b/>
      <w:bCs/>
      <w:sz w:val="20"/>
      <w:szCs w:val="20"/>
      <w:lang w:val="es-CO"/>
    </w:rPr>
  </w:style>
  <w:style w:type="character" w:customStyle="1" w:styleId="65">
    <w:name w:val="Título Car"/>
    <w:link w:val="34"/>
    <w:qFormat/>
    <w:uiPriority w:val="10"/>
    <w:rPr>
      <w:rFonts w:ascii="Cambria" w:hAnsi="Cambria" w:eastAsia="Times New Roman" w:cs="Times New Roman"/>
      <w:spacing w:val="-10"/>
      <w:kern w:val="28"/>
      <w:sz w:val="56"/>
      <w:szCs w:val="56"/>
      <w:lang w:val="es-CO"/>
    </w:rPr>
  </w:style>
  <w:style w:type="character" w:customStyle="1" w:styleId="66">
    <w:name w:val="Subtítulo Car"/>
    <w:link w:val="32"/>
    <w:qFormat/>
    <w:uiPriority w:val="11"/>
    <w:rPr>
      <w:rFonts w:eastAsia="Times New Roman"/>
      <w:color w:val="5A5A5A"/>
      <w:spacing w:val="15"/>
      <w:lang w:val="es-CO"/>
    </w:rPr>
  </w:style>
  <w:style w:type="character" w:customStyle="1" w:styleId="67">
    <w:name w:val="Book Title"/>
    <w:qFormat/>
    <w:uiPriority w:val="33"/>
    <w:rPr>
      <w:b/>
      <w:bCs/>
      <w:i/>
      <w:iCs/>
      <w:spacing w:val="5"/>
    </w:rPr>
  </w:style>
  <w:style w:type="character" w:customStyle="1" w:styleId="68">
    <w:name w:val="Subtle Reference"/>
    <w:qFormat/>
    <w:uiPriority w:val="31"/>
    <w:rPr>
      <w:smallCaps/>
      <w:color w:val="5A5A5A"/>
    </w:rPr>
  </w:style>
  <w:style w:type="paragraph" w:customStyle="1" w:styleId="69">
    <w:name w:val="Predeterminado"/>
    <w:uiPriority w:val="0"/>
    <w:rPr>
      <w:rFonts w:ascii="Times New Roman" w:hAnsi="Times New Roman" w:eastAsia="Times New Roman" w:cs="Times New Roman"/>
      <w:snapToGrid w:val="0"/>
      <w:sz w:val="24"/>
      <w:lang w:val="es-ES" w:eastAsia="es-ES" w:bidi="ar-SA"/>
    </w:rPr>
  </w:style>
  <w:style w:type="paragraph" w:customStyle="1" w:styleId="70">
    <w:name w:val="Standard"/>
    <w:qFormat/>
    <w:uiPriority w:val="0"/>
    <w:pPr>
      <w:widowControl w:val="0"/>
      <w:suppressAutoHyphens/>
      <w:autoSpaceDN w:val="0"/>
      <w:textAlignment w:val="baseline"/>
    </w:pPr>
    <w:rPr>
      <w:rFonts w:ascii="Times New Roman" w:hAnsi="Times New Roman" w:eastAsia="SimSun" w:cs="Tahoma"/>
      <w:kern w:val="3"/>
      <w:sz w:val="24"/>
      <w:szCs w:val="24"/>
      <w:lang w:val="es-CO" w:eastAsia="zh-CN" w:bidi="hi-IN"/>
    </w:rPr>
  </w:style>
  <w:style w:type="character" w:customStyle="1" w:styleId="71">
    <w:name w:val="apple-tab-span"/>
    <w:qFormat/>
    <w:uiPriority w:val="0"/>
  </w:style>
  <w:style w:type="table" w:styleId="72">
    <w:name w:val="Medium Grid 1 Accent 6"/>
    <w:basedOn w:val="12"/>
    <w:uiPriority w:val="67"/>
    <w:tblPr>
      <w:tblBorders>
        <w:top w:val="single" w:color="F9B074" w:sz="8" w:space="0"/>
        <w:left w:val="single" w:color="F9B074" w:sz="8" w:space="0"/>
        <w:bottom w:val="single" w:color="F9B074" w:sz="8" w:space="0"/>
        <w:right w:val="single" w:color="F9B074" w:sz="8" w:space="0"/>
        <w:insideH w:val="single" w:color="F9B074" w:sz="8" w:space="0"/>
        <w:insideV w:val="single" w:color="F9B074" w:sz="8" w:space="0"/>
      </w:tblBorders>
    </w:tblPr>
    <w:tcPr>
      <w:shd w:val="clear" w:color="auto" w:fill="FDE4D0"/>
    </w:tcPr>
    <w:tblStylePr w:type="firstRow">
      <w:rPr>
        <w:b/>
        <w:bCs/>
      </w:rPr>
    </w:tblStylePr>
    <w:tblStylePr w:type="lastRow">
      <w:rPr>
        <w:b/>
        <w:bCs/>
      </w:rPr>
      <w:tcPr>
        <w:tcBorders>
          <w:top w:val="single" w:color="F9B074" w:sz="18" w:space="0"/>
        </w:tcBorders>
      </w:tcPr>
    </w:tblStylePr>
    <w:tblStylePr w:type="firstCol">
      <w:rPr>
        <w:b/>
        <w:bCs/>
      </w:rPr>
    </w:tblStylePr>
    <w:tblStylePr w:type="lastCol">
      <w:rPr>
        <w:b/>
        <w:bCs/>
      </w:rPr>
    </w:tblStylePr>
    <w:tblStylePr w:type="band1Vert">
      <w:tcPr>
        <w:shd w:val="clear" w:color="auto" w:fill="FBCAA2"/>
      </w:tcPr>
    </w:tblStylePr>
    <w:tblStylePr w:type="band1Horz">
      <w:tcPr>
        <w:shd w:val="clear" w:color="auto" w:fill="FBCAA2"/>
      </w:tcPr>
    </w:tblStylePr>
  </w:style>
  <w:style w:type="table" w:styleId="73">
    <w:name w:val="Light List Accent 6"/>
    <w:basedOn w:val="12"/>
    <w:qFormat/>
    <w:uiPriority w:val="61"/>
    <w:tblPr>
      <w:tblBorders>
        <w:top w:val="single" w:color="F79646" w:sz="8" w:space="0"/>
        <w:left w:val="single" w:color="F79646" w:sz="8" w:space="0"/>
        <w:bottom w:val="single" w:color="F79646" w:sz="8" w:space="0"/>
        <w:right w:val="single" w:color="F79646" w:sz="8" w:space="0"/>
      </w:tblBorders>
    </w:tblPr>
    <w:tblStylePr w:type="firstRow">
      <w:pPr>
        <w:spacing w:before="0" w:after="0" w:line="240" w:lineRule="auto"/>
      </w:pPr>
      <w:rPr>
        <w:b/>
        <w:bCs/>
        <w:color w:val="FFFFFF"/>
      </w:rPr>
      <w:tcPr>
        <w:shd w:val="clear" w:color="auto" w:fill="F79646"/>
      </w:tcPr>
    </w:tblStylePr>
    <w:tblStylePr w:type="lastRow">
      <w:pPr>
        <w:spacing w:before="0" w:after="0" w:line="240" w:lineRule="auto"/>
      </w:pPr>
      <w:rPr>
        <w:b/>
        <w:bCs/>
      </w:rPr>
      <w:tcPr>
        <w:tcBorders>
          <w:top w:val="double" w:color="F79646" w:sz="6" w:space="0"/>
          <w:left w:val="single" w:color="F79646" w:sz="8" w:space="0"/>
          <w:bottom w:val="single" w:color="F79646" w:sz="8" w:space="0"/>
          <w:right w:val="single" w:color="F79646" w:sz="8" w:space="0"/>
        </w:tcBorders>
      </w:tcPr>
    </w:tblStylePr>
    <w:tblStylePr w:type="firstCol">
      <w:rPr>
        <w:b/>
        <w:bCs/>
      </w:rPr>
    </w:tblStylePr>
    <w:tblStylePr w:type="lastCol">
      <w:rPr>
        <w:b/>
        <w:bCs/>
      </w:rPr>
    </w:tblStylePr>
    <w:tblStylePr w:type="band1Vert">
      <w:tcPr>
        <w:tcBorders>
          <w:top w:val="single" w:color="F79646" w:sz="8" w:space="0"/>
          <w:left w:val="single" w:color="F79646" w:sz="8" w:space="0"/>
          <w:bottom w:val="single" w:color="F79646" w:sz="8" w:space="0"/>
          <w:right w:val="single" w:color="F79646" w:sz="8" w:space="0"/>
        </w:tcBorders>
      </w:tcPr>
    </w:tblStylePr>
    <w:tblStylePr w:type="band1Horz">
      <w:tcPr>
        <w:tcBorders>
          <w:top w:val="single" w:color="F79646" w:sz="8" w:space="0"/>
          <w:left w:val="single" w:color="F79646" w:sz="8" w:space="0"/>
          <w:bottom w:val="single" w:color="F79646" w:sz="8" w:space="0"/>
          <w:right w:val="single" w:color="F79646" w:sz="8" w:space="0"/>
        </w:tcBorders>
      </w:tcPr>
    </w:tblStylePr>
  </w:style>
  <w:style w:type="table" w:customStyle="1" w:styleId="74">
    <w:name w:val="Cuadrícula clara1"/>
    <w:basedOn w:val="12"/>
    <w:qFormat/>
    <w:uiPriority w:val="62"/>
    <w:tblP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
    <w:tblStylePr w:type="firstRow">
      <w:pPr>
        <w:spacing w:before="0" w:after="0" w:line="240" w:lineRule="auto"/>
      </w:pPr>
      <w:rPr>
        <w:rFonts w:ascii="font285" w:hAnsi="font285" w:eastAsia="Times New Roman" w:cs="Times New Roman"/>
        <w:b/>
        <w:bCs/>
      </w:rPr>
      <w:tcPr>
        <w:tcBorders>
          <w:top w:val="single" w:color="000000" w:sz="8" w:space="0"/>
          <w:left w:val="single" w:color="000000" w:sz="8" w:space="0"/>
          <w:bottom w:val="single" w:color="000000" w:sz="18" w:space="0"/>
          <w:right w:val="single" w:color="000000" w:sz="8" w:space="0"/>
          <w:insideH w:val="nil"/>
          <w:insideV w:val="single" w:sz="8" w:space="0"/>
        </w:tcBorders>
      </w:tcPr>
    </w:tblStylePr>
    <w:tblStylePr w:type="lastRow">
      <w:pPr>
        <w:spacing w:before="0" w:after="0" w:line="240" w:lineRule="auto"/>
      </w:pPr>
      <w:rPr>
        <w:rFonts w:ascii="font285" w:hAnsi="font285" w:eastAsia="Times New Roman" w:cs="Times New Roman"/>
        <w:b/>
        <w:bCs/>
      </w:rPr>
      <w:tcPr>
        <w:tcBorders>
          <w:top w:val="double" w:color="000000" w:sz="6" w:space="0"/>
          <w:left w:val="single" w:color="000000" w:sz="8" w:space="0"/>
          <w:bottom w:val="single" w:color="000000" w:sz="8" w:space="0"/>
          <w:right w:val="single" w:color="000000" w:sz="8" w:space="0"/>
          <w:insideH w:val="nil"/>
          <w:insideV w:val="single" w:sz="8" w:space="0"/>
        </w:tcBorders>
      </w:tcPr>
    </w:tblStylePr>
    <w:tblStylePr w:type="firstCol">
      <w:rPr>
        <w:rFonts w:ascii="font285" w:hAnsi="font285" w:eastAsia="Times New Roman" w:cs="Times New Roman"/>
        <w:b/>
        <w:bCs/>
      </w:rPr>
    </w:tblStylePr>
    <w:tblStylePr w:type="lastCol">
      <w:rPr>
        <w:rFonts w:ascii="font285" w:hAnsi="font285" w:eastAsia="Times New Roman" w:cs="Times New Roman"/>
        <w:b/>
        <w:bCs/>
      </w:rPr>
      <w:tcPr>
        <w:tcBorders>
          <w:top w:val="single" w:color="000000" w:sz="8" w:space="0"/>
          <w:left w:val="single" w:color="000000" w:sz="8" w:space="0"/>
          <w:bottom w:val="single" w:color="000000" w:sz="8" w:space="0"/>
          <w:right w:val="single" w:color="000000" w:sz="8" w:space="0"/>
        </w:tcBorders>
      </w:tcPr>
    </w:tblStylePr>
    <w:tblStylePr w:type="band1Vert">
      <w:tcPr>
        <w:tcBorders>
          <w:top w:val="single" w:color="000000" w:sz="8" w:space="0"/>
          <w:left w:val="single" w:color="000000" w:sz="8" w:space="0"/>
          <w:bottom w:val="single" w:color="000000" w:sz="8" w:space="0"/>
          <w:right w:val="single" w:color="000000" w:sz="8" w:space="0"/>
        </w:tcBorders>
        <w:shd w:val="clear" w:color="auto" w:fill="C0C0C0"/>
      </w:tcPr>
    </w:tblStylePr>
    <w:tblStylePr w:type="band1Horz">
      <w:tcPr>
        <w:tcBorders>
          <w:top w:val="single" w:color="000000" w:sz="8" w:space="0"/>
          <w:left w:val="single" w:color="000000" w:sz="8" w:space="0"/>
          <w:bottom w:val="single" w:color="000000" w:sz="8" w:space="0"/>
          <w:right w:val="single" w:color="000000" w:sz="8" w:space="0"/>
          <w:insideV w:val="single" w:sz="8" w:space="0"/>
        </w:tcBorders>
        <w:shd w:val="clear" w:color="auto" w:fill="C0C0C0"/>
      </w:tcPr>
    </w:tblStylePr>
    <w:tblStylePr w:type="band2Horz">
      <w:tcPr>
        <w:tcBorders>
          <w:top w:val="single" w:color="000000" w:sz="8" w:space="0"/>
          <w:left w:val="single" w:color="000000" w:sz="8" w:space="0"/>
          <w:bottom w:val="single" w:color="000000" w:sz="8" w:space="0"/>
          <w:right w:val="single" w:color="000000" w:sz="8" w:space="0"/>
          <w:insideV w:val="single" w:sz="8" w:space="0"/>
        </w:tcBorders>
      </w:tcPr>
    </w:tblStylePr>
  </w:style>
  <w:style w:type="table" w:customStyle="1" w:styleId="75">
    <w:name w:val="Grid Table Light"/>
    <w:basedOn w:val="12"/>
    <w:qFormat/>
    <w:uiPriority w:val="40"/>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style>
  <w:style w:type="table" w:customStyle="1" w:styleId="76">
    <w:name w:val="Plain Table 1"/>
    <w:basedOn w:val="12"/>
    <w:uiPriority w:val="41"/>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tblStylePr w:type="firstRow">
      <w:rPr>
        <w:b/>
        <w:bCs/>
      </w:rPr>
    </w:tblStylePr>
    <w:tblStylePr w:type="lastRow">
      <w:rPr>
        <w:b/>
        <w:bCs/>
      </w:rPr>
      <w:tcPr>
        <w:tcBorders>
          <w:top w:val="double" w:color="BEBEBE" w:themeColor="background1" w:themeShade="BF" w:sz="4" w:space="0"/>
        </w:tcBorders>
      </w:tcPr>
    </w:tblStylePr>
    <w:tblStylePr w:type="firstCol">
      <w:rPr>
        <w:b/>
        <w:bCs/>
      </w:rPr>
    </w:tblStylePr>
    <w:tblStylePr w:type="lastCol">
      <w:rPr>
        <w:b/>
        <w:bCs/>
      </w:rPr>
    </w:tblStylePr>
    <w:tblStylePr w:type="band1Vert">
      <w:tcPr>
        <w:shd w:val="clear" w:color="auto" w:fill="F1F1F1" w:themeFill="background1" w:themeFillShade="F2"/>
      </w:tcPr>
    </w:tblStylePr>
    <w:tblStylePr w:type="band1Horz">
      <w:tcPr>
        <w:shd w:val="clear" w:color="auto" w:fill="F1F1F1" w:themeFill="background1" w:themeFillShade="F2"/>
      </w:tcPr>
    </w:tblStylePr>
  </w:style>
  <w:style w:type="table" w:customStyle="1" w:styleId="77">
    <w:name w:val="Plain Table 3"/>
    <w:basedOn w:val="12"/>
    <w:qFormat/>
    <w:uiPriority w:val="43"/>
    <w:tblStylePr w:type="firstRow">
      <w:rPr>
        <w:b/>
        <w:bCs/>
        <w:caps/>
      </w:rPr>
      <w:tcPr>
        <w:tcBorders>
          <w:bottom w:val="single" w:color="7E7E7E" w:themeColor="text1" w:themeTint="80" w:sz="4" w:space="0"/>
        </w:tcBorders>
      </w:tcPr>
    </w:tblStylePr>
    <w:tblStylePr w:type="lastRow">
      <w:rPr>
        <w:b/>
        <w:bCs/>
        <w:caps/>
      </w:rPr>
      <w:tcPr>
        <w:tcBorders>
          <w:top w:val="nil"/>
        </w:tcBorders>
      </w:tcPr>
    </w:tblStylePr>
    <w:tblStylePr w:type="firstCol">
      <w:rPr>
        <w:b/>
        <w:bCs/>
        <w:caps/>
      </w:rPr>
      <w:tcPr>
        <w:tcBorders>
          <w:right w:val="single" w:color="7E7E7E" w:themeColor="text1" w:themeTint="80" w:sz="4" w:space="0"/>
        </w:tcBorders>
      </w:tcPr>
    </w:tblStylePr>
    <w:tblStylePr w:type="lastCol">
      <w:rPr>
        <w:b/>
        <w:bCs/>
        <w:caps/>
      </w:rPr>
      <w:tcPr>
        <w:tcBorders>
          <w:left w:val="nil"/>
        </w:tcBorders>
      </w:tcPr>
    </w:tblStylePr>
    <w:tblStylePr w:type="band1Vert">
      <w:tcPr>
        <w:shd w:val="clear" w:color="auto" w:fill="F1F1F1" w:themeFill="background1" w:themeFillShade="F2"/>
      </w:tcPr>
    </w:tblStylePr>
    <w:tblStylePr w:type="band1Horz">
      <w:tcPr>
        <w:shd w:val="clear" w:color="auto" w:fill="F1F1F1" w:themeFill="background1" w:themeFillShade="F2"/>
      </w:tcPr>
    </w:tblStylePr>
    <w:tblStylePr w:type="neCell">
      <w:tcPr>
        <w:tcBorders>
          <w:left w:val="nil"/>
        </w:tcBorders>
      </w:tcPr>
    </w:tblStylePr>
    <w:tblStylePr w:type="nwCell">
      <w:tcPr>
        <w:tcBorders>
          <w:right w:val="nil"/>
        </w:tcBorders>
      </w:tcPr>
    </w:tblStylePr>
  </w:style>
  <w:style w:type="table" w:customStyle="1" w:styleId="78">
    <w:name w:val="Grid Table 4"/>
    <w:basedOn w:val="12"/>
    <w:uiPriority w:val="49"/>
    <w:rPr>
      <w:rFonts w:asciiTheme="minorHAnsi" w:hAnsiTheme="minorHAnsi" w:eastAsiaTheme="minorEastAsia" w:cstheme="minorBidi"/>
      <w:sz w:val="24"/>
      <w:szCs w:val="24"/>
      <w:lang w:val="es-CO"/>
    </w:rPr>
    <w:tblPr>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color w:val="FFFFFF" w:themeColor="background1"/>
        <w14:textFill>
          <w14:solidFill>
            <w14:schemeClr w14:val="bg1"/>
          </w14:solidFill>
        </w14:textFill>
      </w:r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nil"/>
        </w:tcBorders>
        <w:shd w:val="clear" w:color="auto" w:fill="000000" w:themeFill="text1"/>
      </w:tcPr>
    </w:tblStylePr>
    <w:tblStylePr w:type="lastRow">
      <w:rPr>
        <w:b/>
        <w:bCs/>
      </w:rPr>
      <w:tcPr>
        <w:tcBorders>
          <w:top w:val="double" w:color="000000" w:themeColor="text1" w:sz="4" w:space="0"/>
        </w:tcBorders>
      </w:tcPr>
    </w:tblStylePr>
    <w:tblStylePr w:type="firstCol">
      <w:rPr>
        <w:b/>
        <w:bCs/>
      </w:rPr>
    </w:tblStylePr>
    <w:tblStylePr w:type="lastCol">
      <w:rPr>
        <w:b/>
        <w:bCs/>
      </w:rPr>
    </w:tblStylePr>
    <w:tblStylePr w:type="band1Vert">
      <w:tcPr>
        <w:shd w:val="clear" w:color="auto" w:fill="CCCCCC" w:themeFill="text1" w:themeFillTint="33"/>
      </w:tcPr>
    </w:tblStylePr>
    <w:tblStylePr w:type="band1Horz">
      <w:tcPr>
        <w:shd w:val="clear" w:color="auto" w:fill="CCCCCC" w:themeFill="text1" w:themeFillTint="33"/>
      </w:tcPr>
    </w:tblStyle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2.xml"/><Relationship Id="rId5" Type="http://schemas.openxmlformats.org/officeDocument/2006/relationships/header" Target="header1.xml"/><Relationship Id="rId4" Type="http://schemas.microsoft.com/office/2011/relationships/commentsExtended" Target="commentsExtended.xml"/><Relationship Id="rId3" Type="http://schemas.openxmlformats.org/officeDocument/2006/relationships/comments" Target="comments.xml"/><Relationship Id="rId2" Type="http://schemas.openxmlformats.org/officeDocument/2006/relationships/settings" Target="settings.xml"/><Relationship Id="rId14" Type="http://schemas.microsoft.com/office/2011/relationships/people" Target="people.xml"/><Relationship Id="rId13" Type="http://schemas.openxmlformats.org/officeDocument/2006/relationships/fontTable" Target="fontTable.xml"/><Relationship Id="rId12" Type="http://schemas.openxmlformats.org/officeDocument/2006/relationships/customXml" Target="../customXml/item1.xml"/><Relationship Id="rId11" Type="http://schemas.openxmlformats.org/officeDocument/2006/relationships/numbering" Target="numbering.xml"/><Relationship Id="rId10" Type="http://schemas.openxmlformats.org/officeDocument/2006/relationships/image" Target="media/image2.emf"/><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1602</b:Tag>
    <b:SourceType>InternetSite</b:SourceType>
    <b:Guid>{97525D50-6F9E-4056-9E11-0C8A62EDBC69}</b:Guid>
    <b:Year>2016</b:Year>
    <b:Month>02</b:Month>
    <b:Day>28</b:Day>
    <b:URL>https://www.uji.es/bin/serveis/prev/docum/notas/elevador.pdf</b:URL>
    <b:Title>https://www.uji.es/</b:Title>
    <b:RefOrder>1</b:RefOrder>
  </b:Source>
  <b:Source>
    <b:Tag>htt162</b:Tag>
    <b:SourceType>InternetSite</b:SourceType>
    <b:Guid>{3657E411-B019-42BE-B2C1-1C5EF8932C88}</b:Guid>
    <b:Title>https://www.uji.es/bin/serveis/prev/docum/notas/elevador.pdf</b:Title>
    <b:InternetSiteTitle>https://www.uji.es/bin/serveis/prev/docum/notas/elevador.pdf</b:InternetSiteTitle>
    <b:Year>2016</b:Year>
    <b:Month>02</b:Month>
    <b:Day>27</b:Day>
    <b:URL>https://www.uji.es/bin/serveis/prev/docum/notas/elevador.pdf</b:URL>
    <b:RefOrder>2</b:RefOrder>
  </b:Source>
  <b:Source>
    <b:Tag>htt16</b:Tag>
    <b:SourceType>InternetSite</b:SourceType>
    <b:Guid>{5E4760FE-CDA0-4217-A026-F4194125B7EA}</b:Guid>
    <b:Title>Instructivo de uso seguro de escaleras</b:Title>
    <b:Year>2016</b:Year>
    <b:Month>03</b:Month>
    <b:Day>15</b:Day>
    <b:URL>https://www.unrc.edu.ar/unrc/trabajo/docs/instructivos/uso-escaleras.pdf</b:URL>
    <b:Author>
      <b:Author>
        <b:Corporate>Universidad Nacional de Rio Cuarto</b:Corporate>
      </b:Author>
    </b:Author>
    <b:RefOrder>3</b:RefOrder>
  </b:Source>
  <b:Source>
    <b:Tag>htt161</b:Tag>
    <b:SourceType>InternetSite</b:SourceType>
    <b:Guid>{C307F7DB-B37A-46A8-84B9-537251E54DE8}</b:Guid>
    <b:Title>Lineamientos de Seguridad y Salud Ocupacional en Espacios Laborales. Andamios.</b:Title>
    <b:Year>2016</b:Year>
    <b:Month>03</b:Month>
    <b:Day>05</b:Day>
    <b:URL>http://www.unal.edu.co/dnp/Archivos_base/Manual_Adquisicion_Andamios.pdf</b:URL>
    <b:Author>
      <b:Author>
        <b:Corporate>Universidad Nacional de Colombia</b:Corporate>
      </b:Author>
    </b:Author>
    <b:RefOrder>4</b:RefOrder>
  </b:Source>
  <b:Source>
    <b:Tag>Osh16</b:Tag>
    <b:SourceType>DocumentFromInternetSite</b:SourceType>
    <b:Guid>{160BD404-73BB-49CA-BEE1-AACC62CDE1DB}</b:Guid>
    <b:Author>
      <b:Author>
        <b:Corporate>Oshkosh Corporation Company</b:Corporate>
      </b:Author>
    </b:Author>
    <b:Title>Manual del Operador y de Seguridad</b:Title>
    <b:Year>2016</b:Year>
    <b:Month>06</b:Month>
    <b:Day>15</b:Day>
    <b:URL>www.jofemesa.com/documentos/manuales/600AJ.pdf</b:URL>
    <b:RefOrder>5</b:RefOrder>
  </b:Source>
</b:Sources>
</file>

<file path=customXml/itemProps1.xml><?xml version="1.0" encoding="utf-8"?>
<ds:datastoreItem xmlns:ds="http://schemas.openxmlformats.org/officeDocument/2006/customXml" ds:itemID="{FDE49F6A-1DB4-4448-BEE8-866609BE37BB}">
  <ds:schemaRefs/>
</ds:datastoreItem>
</file>

<file path=docProps/app.xml><?xml version="1.0" encoding="utf-8"?>
<Properties xmlns="http://schemas.openxmlformats.org/officeDocument/2006/extended-properties" xmlns:vt="http://schemas.openxmlformats.org/officeDocument/2006/docPropsVTypes">
  <Template>Normal</Template>
  <Company>Toshiba</Company>
  <Pages>54</Pages>
  <Words>16850</Words>
  <Characters>92681</Characters>
  <Lines>772</Lines>
  <Paragraphs>218</Paragraphs>
  <TotalTime>25</TotalTime>
  <ScaleCrop>false</ScaleCrop>
  <LinksUpToDate>false</LinksUpToDate>
  <CharactersWithSpaces>109313</CharactersWithSpaces>
  <Application>WPS Office_12.2.0.21931_F1E327BC-269C-435d-A152-05C5408002CA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2025-01-24T15:46:00Z</dcterms:created>
  <dc:creator>juahernandez@sena.edu.co</dc:creator>
  <cp:lastModifiedBy>PERSSONAL</cp:lastModifiedBy>
  <cp:lastPrinted>2021-10-06T18:00:00Z</cp:lastPrinted>
  <dcterms:modified xsi:type="dcterms:W3CDTF">2025-09-02T16:29:40Z</dcterms:modified>
  <cp:revision>127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299739c-ad3d-4908-806e-4d91151a6e13_Enabled">
    <vt:lpwstr>true</vt:lpwstr>
  </property>
  <property fmtid="{D5CDD505-2E9C-101B-9397-08002B2CF9AE}" pid="3" name="MSIP_Label_1299739c-ad3d-4908-806e-4d91151a6e13_SetDate">
    <vt:lpwstr>2023-05-23T20:08:01Z</vt:lpwstr>
  </property>
  <property fmtid="{D5CDD505-2E9C-101B-9397-08002B2CF9AE}" pid="4" name="MSIP_Label_1299739c-ad3d-4908-806e-4d91151a6e13_Method">
    <vt:lpwstr>Standard</vt:lpwstr>
  </property>
  <property fmtid="{D5CDD505-2E9C-101B-9397-08002B2CF9AE}" pid="5" name="MSIP_Label_1299739c-ad3d-4908-806e-4d91151a6e13_Name">
    <vt:lpwstr>All Employees (Unrestricted)</vt:lpwstr>
  </property>
  <property fmtid="{D5CDD505-2E9C-101B-9397-08002B2CF9AE}" pid="6" name="MSIP_Label_1299739c-ad3d-4908-806e-4d91151a6e13_SiteId">
    <vt:lpwstr>cbc2c381-2f2e-4d93-91d1-506c9316ace7</vt:lpwstr>
  </property>
  <property fmtid="{D5CDD505-2E9C-101B-9397-08002B2CF9AE}" pid="7" name="MSIP_Label_1299739c-ad3d-4908-806e-4d91151a6e13_ActionId">
    <vt:lpwstr>9135253b-85a3-4a63-abeb-4052578f4319</vt:lpwstr>
  </property>
  <property fmtid="{D5CDD505-2E9C-101B-9397-08002B2CF9AE}" pid="8" name="MSIP_Label_1299739c-ad3d-4908-806e-4d91151a6e13_ContentBits">
    <vt:lpwstr>0</vt:lpwstr>
  </property>
  <property fmtid="{D5CDD505-2E9C-101B-9397-08002B2CF9AE}" pid="9" name="KSOProductBuildVer">
    <vt:lpwstr>3082-12.2.0.21931</vt:lpwstr>
  </property>
  <property fmtid="{D5CDD505-2E9C-101B-9397-08002B2CF9AE}" pid="10" name="ICV">
    <vt:lpwstr>8EC15CBF83A94EC1A7EDEAE88A010DF0_12</vt:lpwstr>
  </property>
</Properties>
</file>